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4D49" w:rsidRDefault="00B34D49" w:rsidP="00B34D49">
      <w:pPr>
        <w:rPr>
          <w:rFonts w:ascii="Times New Roman" w:hAnsi="Times New Roman" w:cs="Times New Roman"/>
          <w:sz w:val="24"/>
          <w:szCs w:val="24"/>
        </w:rPr>
      </w:pPr>
      <w:r>
        <w:rPr>
          <w:rFonts w:ascii="Times New Roman" w:hAnsi="Times New Roman" w:cs="Times New Roman"/>
          <w:sz w:val="24"/>
          <w:szCs w:val="24"/>
        </w:rPr>
        <w:t>Claudia Susana Mosquera Cruz                                                                                       ----------</w:t>
      </w:r>
    </w:p>
    <w:p w:rsidR="00B34D49" w:rsidRDefault="00B34D49" w:rsidP="00B34D49">
      <w:pPr>
        <w:rPr>
          <w:rFonts w:ascii="Times New Roman" w:hAnsi="Times New Roman" w:cs="Times New Roman"/>
          <w:sz w:val="24"/>
          <w:szCs w:val="24"/>
        </w:rPr>
      </w:pP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Possible problems in the new United States Health System</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The Health System in the United States is still far from being the best in the world despite the recently passed reform, “The Patient Protection and Affordable Care Act”. Why? There are a number of factors which are not taken into account, not allowing progress towards improvement in the health system. In this paper I intend to show what those factors are, and at the same time I try to explain the importance about complete coverage, that patients receive all the medical attention that they require, that people have access to low-cost, high-quality drugs, and that the reader addresses the current system in a critical manner and concluding on the need for some health policies to be modified for the welfare of all Americans. </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A good health system as described by the World Health Organization “delivers quality services to all people, when and where they need them.”</w:t>
      </w:r>
      <w:sdt>
        <w:sdtPr>
          <w:rPr>
            <w:rFonts w:ascii="Times New Roman" w:hAnsi="Times New Roman" w:cs="Times New Roman"/>
            <w:sz w:val="24"/>
            <w:szCs w:val="24"/>
          </w:rPr>
          <w:id w:val="678549760"/>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Wor10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(Organization, WHO/Health systems)</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According to the above, the WHO in its 2000 report released a ranking of the best health systems by countries; the first of which was France’s followed by the health system in Italy; in third place was San Marino; the health system of the United States was ranked thirty-seven, below countries like Spain (seventh), Norway (eleventh), the UK (eighteen), Colombia (twenty second). However, this type of classification has not been updated by the WHO since then; one of the reasons for this relies in the fact that to establish a rank of countries health systems is complex since each country has different forms of government, population, gross domestic product, and epidemiological and demographic characteristics. </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The WHO is using today different indicators to measure health systems around the world: “Life expectancy at birth, infant mortality rate, maternal mortality ratio, median consumer price </w:t>
      </w:r>
      <w:r>
        <w:rPr>
          <w:rFonts w:ascii="Times New Roman" w:hAnsi="Times New Roman" w:cs="Times New Roman"/>
          <w:sz w:val="24"/>
          <w:szCs w:val="24"/>
        </w:rPr>
        <w:lastRenderedPageBreak/>
        <w:t>ratio of selected generic medicines, under-five mortality rate, births attended by skilled health personnel.”</w:t>
      </w:r>
      <w:sdt>
        <w:sdtPr>
          <w:rPr>
            <w:rFonts w:ascii="Times New Roman" w:hAnsi="Times New Roman" w:cs="Times New Roman"/>
            <w:sz w:val="24"/>
            <w:szCs w:val="24"/>
          </w:rPr>
          <w:id w:val="2024431630"/>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Wor134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(Organization, WHO/Global Heath Expediture Database)</w:t>
          </w:r>
          <w:r>
            <w:rPr>
              <w:rFonts w:ascii="Times New Roman" w:hAnsi="Times New Roman" w:cs="Times New Roman"/>
              <w:sz w:val="24"/>
              <w:szCs w:val="24"/>
            </w:rPr>
            <w:fldChar w:fldCharType="end"/>
          </w:r>
        </w:sdtContent>
      </w:sdt>
      <w:r>
        <w:rPr>
          <w:rFonts w:ascii="Times New Roman" w:hAnsi="Times New Roman" w:cs="Times New Roman"/>
          <w:sz w:val="24"/>
          <w:szCs w:val="24"/>
        </w:rPr>
        <w:t>, but still didn’t come up with a ranking of the best health systems in the world. Countries have made efforts to ensure better health systems and among those, the United States has had reforms such as Medicare and Medicaid in 1965, the Consolidated ten Omnibus budget reconciliation act in 1985, State Children’s health insurance program in 1997, and the last, The Patient Protection and Affordable Care Act (PPACA) in 2010.</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The Patient Protection and Affordable Care Act passed in 2010 aims, according to the government, to “guarantee coverage for everyone regardless of health status and create affordable insurance options for low- and middle-income Americans.”</w:t>
      </w:r>
      <w:sdt>
        <w:sdtPr>
          <w:rPr>
            <w:rFonts w:ascii="Times New Roman" w:hAnsi="Times New Roman" w:cs="Times New Roman"/>
            <w:sz w:val="24"/>
            <w:szCs w:val="24"/>
          </w:rPr>
          <w:id w:val="-1254810564"/>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Jea12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(Sahadi)</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The health system of the United States sees the need to expand health coverage; up to now, the population is covered by Medicare, serving the population of 65 years old and older, and Medicaid, aimed at the poorest population. At the other end of the spectrum, stand the salaried full-time employees who receive part of their wages on health coverage, provided through private insurance, and those with sufficient ability to pay for private health insurance. However there are </w:t>
      </w:r>
      <w:r w:rsidRPr="002F264A">
        <w:rPr>
          <w:rFonts w:ascii="Times New Roman" w:hAnsi="Times New Roman" w:cs="Times New Roman"/>
          <w:sz w:val="24"/>
          <w:szCs w:val="24"/>
        </w:rPr>
        <w:t>millions</w:t>
      </w:r>
      <w:r>
        <w:rPr>
          <w:rFonts w:ascii="Times New Roman" w:hAnsi="Times New Roman" w:cs="Times New Roman"/>
          <w:sz w:val="24"/>
          <w:szCs w:val="24"/>
        </w:rPr>
        <w:t xml:space="preserve"> of citizens who are not on either side, since they are not poor enough to access government aid, but don’t have a full time job or money to pay for private health insurance; any reform to the health system should also take care of this later group. The Patient Protection and Affordable Care Act (PPACA)  requires that all citizens who are outside federal aid or state programs must join a health insurer; that means that people mentioned above, and who are in a “limbo”, should seek a health insurance company to get the necessary coverage. At the same time, the reform aims to provide assistance to those who do not have sufficient financial resources to pay for adequate </w:t>
      </w:r>
      <w:r>
        <w:rPr>
          <w:rFonts w:ascii="Times New Roman" w:hAnsi="Times New Roman" w:cs="Times New Roman"/>
          <w:sz w:val="24"/>
          <w:szCs w:val="24"/>
        </w:rPr>
        <w:lastRenderedPageBreak/>
        <w:t>health insurance coverage. On the other hand the new law (PPACA) warns that health insurance companies will not be able to deny health coverage to any citizen.</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To better understand the magnitude of the problem and the population that needs to be covered by the new health reform, it is necessary to consider the numbers. The United States has a population of “315,626,160 million.”</w:t>
      </w:r>
      <w:sdt>
        <w:sdtPr>
          <w:rPr>
            <w:rFonts w:ascii="Times New Roman" w:hAnsi="Times New Roman" w:cs="Times New Roman"/>
            <w:sz w:val="24"/>
            <w:szCs w:val="24"/>
          </w:rPr>
          <w:id w:val="-2035408588"/>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Uni10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(Bureau)</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“44.3 million Americans received Medicare coverage in 2010. 48.6 million Americans were also covered by Medicaid in 2010.”</w:t>
      </w:r>
      <w:sdt>
        <w:sdtPr>
          <w:rPr>
            <w:rFonts w:ascii="Times New Roman" w:hAnsi="Times New Roman" w:cs="Times New Roman"/>
            <w:sz w:val="24"/>
            <w:szCs w:val="24"/>
          </w:rPr>
          <w:id w:val="831417748"/>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Emi12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(Emily Smith and Caitlin Stark)</w:t>
          </w:r>
          <w:r>
            <w:rPr>
              <w:rFonts w:ascii="Times New Roman" w:hAnsi="Times New Roman" w:cs="Times New Roman"/>
              <w:sz w:val="24"/>
              <w:szCs w:val="24"/>
            </w:rPr>
            <w:fldChar w:fldCharType="end"/>
          </w:r>
        </w:sdtContent>
      </w:sdt>
      <w:r>
        <w:rPr>
          <w:rFonts w:ascii="Times New Roman" w:hAnsi="Times New Roman" w:cs="Times New Roman"/>
          <w:sz w:val="24"/>
          <w:szCs w:val="24"/>
        </w:rPr>
        <w:t>. People who pay for private health insurance either through their employers or independently are “169.3 million.”</w:t>
      </w:r>
      <w:sdt>
        <w:sdtPr>
          <w:rPr>
            <w:rFonts w:ascii="Times New Roman" w:hAnsi="Times New Roman" w:cs="Times New Roman"/>
            <w:sz w:val="24"/>
            <w:szCs w:val="24"/>
          </w:rPr>
          <w:id w:val="-898891198"/>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Emi12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(Emily Smith and Caitlin Stark)</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This means that around 49.000.000 million people are uninsured.</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However, even though one of the objectives of (PPACA) is expanding the coverage of the health system. One of the purposes of this essay is to emphasize the importance of coverage since many people do not know which diseases will be covered by their health insurance, and most of them ignore which level of medical services or medical technology will be covered by their health insurance carrier.</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I think, that on one hand there is a ‘theoretical” coverage, and on the other hand, a very different one which is the “real” coverage. Theoretical coverage is shown in statistics as a number for the whole country. A number representing citizens that have access to health services through health policies. Real coverage, as I have called it, means the number of citizens with effective, efficient and timed access to any and all levels of healthcare.  </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To achieve real coverage, it is necessary to apply a principle of cooperation and solidarity between the private and public sectors. Thus, last year the health insurance industry had profits in the order of billions of dollars, such as UnitedHealth Group, which reported a “net income of </w:t>
      </w:r>
      <w:r>
        <w:rPr>
          <w:rFonts w:ascii="Times New Roman" w:hAnsi="Times New Roman" w:cs="Times New Roman"/>
          <w:sz w:val="24"/>
          <w:szCs w:val="24"/>
        </w:rPr>
        <w:lastRenderedPageBreak/>
        <w:t>$5.1 billion.”</w:t>
      </w:r>
      <w:sdt>
        <w:sdtPr>
          <w:rPr>
            <w:rFonts w:ascii="Times New Roman" w:hAnsi="Times New Roman" w:cs="Times New Roman"/>
            <w:sz w:val="24"/>
            <w:szCs w:val="24"/>
          </w:rPr>
          <w:id w:val="329251661"/>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CNN121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(Money)</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However, “The average policy in the individual market had a cost of $ 6,328 in 2009”</w:t>
      </w:r>
      <w:sdt>
        <w:sdtPr>
          <w:rPr>
            <w:rFonts w:ascii="Times New Roman" w:hAnsi="Times New Roman" w:cs="Times New Roman"/>
            <w:sz w:val="24"/>
            <w:szCs w:val="24"/>
          </w:rPr>
          <w:id w:val="1839653957"/>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Sar12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(Kliff)</w:t>
          </w:r>
          <w:r>
            <w:rPr>
              <w:rFonts w:ascii="Times New Roman" w:hAnsi="Times New Roman" w:cs="Times New Roman"/>
              <w:sz w:val="24"/>
              <w:szCs w:val="24"/>
            </w:rPr>
            <w:fldChar w:fldCharType="end"/>
          </w:r>
        </w:sdtContent>
      </w:sdt>
      <w:r>
        <w:rPr>
          <w:rFonts w:ascii="Times New Roman" w:hAnsi="Times New Roman" w:cs="Times New Roman"/>
          <w:sz w:val="24"/>
          <w:szCs w:val="24"/>
        </w:rPr>
        <w:t>; if the average citizen pays to health insurance companies an amount of money as premium, he/she expects to receive the services that are required to preserve their health; the reality is different; individuals who use medical services through their insurance must pay a percentage of money known as co-pay. That means that people pay directly or through their employer a monthly premium, plus co-pay if they need medical services. Furthermore, most health insurance companies have a “basic” coverage, which means that the high cost of catastrophic diseases usually is out of this coverage. As the name implies, the so-called high-cost illnesses mean there is a high cost generated by their diagnosis, treatment and follow up; everybody is exposed to suffer one of them, such as cancer, degenerative diseases, etc. If most insurance companies do not cover these conditions, the generated cost will be paid by the insured “out of the pocket”. In many cases patients and their families find themselves in the need to look for a loan, or to ask for a second mortgage on their homes, or to use their life-time savings to pay the bills generated from these diseases.</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I think the reform to the health system should make possible that both, the state and/ or the federal government and the private health companies provide full health insurance coverage. People need to have their insurance company to cover their health care as a whole.</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t xml:space="preserve">      The health system does not guarantee actual coverage if people cannot have unrestricted health services to which they are entitled. There is not real coverage if insurance companies refuse to pay arguing that certain diseases are not within their plan (exclusions); the coverage is also unreal when the health insurance companies deny the coverage of pre-existing conditions; the human body is only one; it is indivisible.  </w:t>
      </w:r>
    </w:p>
    <w:p w:rsidR="00B34D49" w:rsidRDefault="00B34D49" w:rsidP="00B34D4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     What happens with people without healthcare who don’t have full time jobs, or who have part time jobs, but don’t have the money to pay for health care? At the same time, their income makes them not poor enough in order to be eligible for state or federal help; what happens if some of them have a high-cost disease? According to an article published by The Washington Post, some people in the United States died prematurely due to lack of health care. “A recent study by Families USA, a health-care advocacy group, found that 26,100 people between ages 25 and 64 died prematurely because of lack of health coverage in 2010.”</w:t>
      </w:r>
      <w:sdt>
        <w:sdtPr>
          <w:rPr>
            <w:rFonts w:ascii="Times New Roman" w:hAnsi="Times New Roman" w:cs="Times New Roman"/>
            <w:sz w:val="24"/>
            <w:szCs w:val="24"/>
          </w:rPr>
          <w:id w:val="-716888211"/>
          <w:citation/>
        </w:sdtPr>
        <w:sdtContent>
          <w:r>
            <w:rPr>
              <w:rFonts w:ascii="Times New Roman" w:hAnsi="Times New Roman" w:cs="Times New Roman"/>
              <w:sz w:val="24"/>
              <w:szCs w:val="24"/>
            </w:rPr>
            <w:fldChar w:fldCharType="begin"/>
          </w:r>
          <w:r>
            <w:rPr>
              <w:rStyle w:val="FootnoteReference"/>
              <w:rFonts w:ascii="Times New Roman" w:hAnsi="Times New Roman" w:cs="Times New Roman"/>
              <w:sz w:val="24"/>
              <w:szCs w:val="24"/>
            </w:rPr>
            <w:instrText xml:space="preserve"> CITATION Rey12 \l 1033 </w:instrText>
          </w:r>
          <w:r>
            <w:rPr>
              <w:rFonts w:ascii="Times New Roman" w:hAnsi="Times New Roman" w:cs="Times New Roman"/>
              <w:sz w:val="24"/>
              <w:szCs w:val="24"/>
            </w:rPr>
            <w:fldChar w:fldCharType="separate"/>
          </w:r>
          <w:r>
            <w:rPr>
              <w:rStyle w:val="FootnoteReference"/>
              <w:rFonts w:ascii="Times New Roman" w:hAnsi="Times New Roman" w:cs="Times New Roman"/>
              <w:noProof/>
              <w:sz w:val="24"/>
              <w:szCs w:val="24"/>
            </w:rPr>
            <w:t xml:space="preserve"> </w:t>
          </w:r>
          <w:r w:rsidRPr="00E7604D">
            <w:rPr>
              <w:rFonts w:ascii="Times New Roman" w:hAnsi="Times New Roman" w:cs="Times New Roman"/>
              <w:noProof/>
              <w:sz w:val="24"/>
              <w:szCs w:val="24"/>
            </w:rPr>
            <w:t>(Reynolds)</w:t>
          </w:r>
          <w:r>
            <w:rPr>
              <w:rFonts w:ascii="Times New Roman" w:hAnsi="Times New Roman" w:cs="Times New Roman"/>
              <w:sz w:val="24"/>
              <w:szCs w:val="24"/>
            </w:rPr>
            <w:fldChar w:fldCharType="end"/>
          </w:r>
        </w:sdtContent>
      </w:sdt>
    </w:p>
    <w:p w:rsidR="00B34D49" w:rsidRDefault="00B34D49" w:rsidP="00B34D4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I believe that the health system could be functional for all American citizens older than 25 years old, if they pay a fixed percentage from their income to the health insurance company of their choice. This percentage should be determined according to their filed income tax, and in return, everyone should receive full health coverage; for this purpose central government and health insurance companies would be setting up the rate that people would pay for health insurance coverage, hence honoring equality.</w:t>
      </w:r>
    </w:p>
    <w:p w:rsidR="00B34D49" w:rsidRDefault="00B34D49" w:rsidP="00B34D4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Obviously the role of health care insurance companies is to serve as a bridge between patients who are policyholders, and providers of health services. This activity is a business and as such, it is clear to me that companies can’t lose money on behalf of an extended coverage, but rather the system should find a formula that would be profitable for parties involved. </w:t>
      </w:r>
    </w:p>
    <w:p w:rsidR="00B34D49" w:rsidRDefault="00B34D49" w:rsidP="00B34D4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As mentioned above, the health insurance companies had profits between 1.9 and 5.1 billion of dollars in 2012. As expected, these companies must pay taxes on those earnings. “The average premium for a family in a non-group plan was $ 7,102 in 2010.”</w:t>
      </w:r>
      <w:sdt>
        <w:sdtPr>
          <w:rPr>
            <w:rFonts w:ascii="Times New Roman" w:hAnsi="Times New Roman" w:cs="Times New Roman"/>
            <w:sz w:val="24"/>
            <w:szCs w:val="24"/>
          </w:rPr>
          <w:id w:val="940190825"/>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Jes12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(Dickler)</w:t>
          </w:r>
          <w:r>
            <w:rPr>
              <w:rFonts w:ascii="Times New Roman" w:hAnsi="Times New Roman" w:cs="Times New Roman"/>
              <w:sz w:val="24"/>
              <w:szCs w:val="24"/>
            </w:rPr>
            <w:fldChar w:fldCharType="end"/>
          </w:r>
        </w:sdtContent>
      </w:sdt>
      <w:r>
        <w:rPr>
          <w:rFonts w:ascii="Times New Roman" w:hAnsi="Times New Roman" w:cs="Times New Roman"/>
          <w:sz w:val="24"/>
          <w:szCs w:val="24"/>
        </w:rPr>
        <w:t>. This figure refers to the basic coverage.</w:t>
      </w:r>
    </w:p>
    <w:p w:rsidR="00B34D49" w:rsidRDefault="00B34D49" w:rsidP="00B34D49">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If a consensus is reached, states and federal governments may offer tax exemptions to benefit insurance companies which in return will offer comprehensive coverage. The percentage reduction in taxes would be previously agreed between the parties. This would result in a huge benefit since Americans will then have certainty that their health is totally covered, and that the money they pay as insurance premiums meets the goal of providing health care in a comprehensive, effective, efficient and timely manner.</w:t>
      </w:r>
    </w:p>
    <w:p w:rsidR="00B34D49" w:rsidRDefault="00B34D49" w:rsidP="00B34D4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In the past, the government has made tax cuts favoring big companies to promote employment, and to save financial companies, like General Electric, J P Morgan Chase, and Caterpillar; to give just a few examples. Then it should also consider reducing taxes on health insurance companies if the goal is to tackle the issues that the health system has. It is a fact that high-cost diseases as its name implies, generate greater expenses from insurance companies, that will have to cover the costs of complex treatments involving the use of more expensive technology, drugs and highly trained medical and paramedic personal, as opposed  to what is happening today in which health insurance will cover only basic workups and treatments. The high-cost diseases are a reality as is the fact that the population is changing and thus, the epidemiological map changes as well; today, “7 out of 10 deaths among Americans each year are due to chronic diseases. Heart disease, cancer and stroke account for more than 50% of all deaths each year.”</w:t>
      </w:r>
      <w:sdt>
        <w:sdtPr>
          <w:rPr>
            <w:rFonts w:ascii="Times New Roman" w:hAnsi="Times New Roman" w:cs="Times New Roman"/>
            <w:sz w:val="24"/>
            <w:szCs w:val="24"/>
          </w:rPr>
          <w:id w:val="-823595099"/>
          <w:citation/>
        </w:sdtPr>
        <w:sdtContent>
          <w:r>
            <w:rPr>
              <w:rFonts w:ascii="Times New Roman" w:hAnsi="Times New Roman" w:cs="Times New Roman"/>
              <w:sz w:val="24"/>
              <w:szCs w:val="24"/>
            </w:rPr>
            <w:fldChar w:fldCharType="begin"/>
          </w:r>
          <w:r>
            <w:rPr>
              <w:rStyle w:val="FootnoteReference"/>
              <w:rFonts w:ascii="Times New Roman" w:hAnsi="Times New Roman" w:cs="Times New Roman"/>
              <w:sz w:val="24"/>
              <w:szCs w:val="24"/>
            </w:rPr>
            <w:instrText xml:space="preserve"> CITATION Cen13 \l 1033 </w:instrText>
          </w:r>
          <w:r>
            <w:rPr>
              <w:rFonts w:ascii="Times New Roman" w:hAnsi="Times New Roman" w:cs="Times New Roman"/>
              <w:sz w:val="24"/>
              <w:szCs w:val="24"/>
            </w:rPr>
            <w:fldChar w:fldCharType="separate"/>
          </w:r>
          <w:r>
            <w:rPr>
              <w:rStyle w:val="FootnoteReference"/>
              <w:rFonts w:ascii="Times New Roman" w:hAnsi="Times New Roman" w:cs="Times New Roman"/>
              <w:noProof/>
              <w:sz w:val="24"/>
              <w:szCs w:val="24"/>
            </w:rPr>
            <w:t xml:space="preserve"> </w:t>
          </w:r>
          <w:r w:rsidRPr="00E7604D">
            <w:rPr>
              <w:rFonts w:ascii="Times New Roman" w:hAnsi="Times New Roman" w:cs="Times New Roman"/>
              <w:noProof/>
              <w:sz w:val="24"/>
              <w:szCs w:val="24"/>
            </w:rPr>
            <w:t>(Promotion)</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People with these diseases require complex medical management.  </w:t>
      </w:r>
    </w:p>
    <w:p w:rsidR="00B34D49" w:rsidRDefault="00B34D49" w:rsidP="00B34D4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People need to be able to go through all health care levels as needed. I assume that health care is a fundamental right, and it means that as such, countries have to make an effort to enforce, protect, and guarantee it. U.S.A signed as a member at World Health Organization, which implies that all members are committed to comply with WHO constitution, and to honor World </w:t>
      </w:r>
      <w:r>
        <w:rPr>
          <w:rFonts w:ascii="Times New Roman" w:hAnsi="Times New Roman" w:cs="Times New Roman"/>
          <w:sz w:val="24"/>
          <w:szCs w:val="24"/>
        </w:rPr>
        <w:lastRenderedPageBreak/>
        <w:t xml:space="preserve">Health Organization guidelines about health. This is a rule of international law (supranational law). </w:t>
      </w:r>
    </w:p>
    <w:p w:rsidR="00B34D49" w:rsidRDefault="00B34D49" w:rsidP="00B34D4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     The WHO in the preamble to its constitution establishes that “The enjoyment of the highest attainable standard of health is one of the fundamental rights of every human being without distinction of race, religion, political belief, economic or social condition.”</w:t>
      </w:r>
      <w:sdt>
        <w:sdtPr>
          <w:rPr>
            <w:rFonts w:ascii="Times New Roman" w:hAnsi="Times New Roman" w:cs="Times New Roman"/>
            <w:sz w:val="24"/>
            <w:szCs w:val="24"/>
          </w:rPr>
          <w:id w:val="-557787314"/>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Wor13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(Organization, WHO)</w:t>
          </w:r>
          <w:r>
            <w:rPr>
              <w:rFonts w:ascii="Times New Roman" w:hAnsi="Times New Roman" w:cs="Times New Roman"/>
              <w:sz w:val="24"/>
              <w:szCs w:val="24"/>
            </w:rPr>
            <w:fldChar w:fldCharType="end"/>
          </w:r>
        </w:sdtContent>
      </w:sdt>
      <w:r>
        <w:rPr>
          <w:rFonts w:ascii="Times New Roman" w:hAnsi="Times New Roman" w:cs="Times New Roman"/>
          <w:sz w:val="24"/>
          <w:szCs w:val="24"/>
        </w:rPr>
        <w:t xml:space="preserve">. If we, as a society, agree that health care is a fundamental right, then it makes sense that health care should be offered as a whole, and not only on first or second health care levels as described. I believe in health as a fundamental right, but I also believe that total coverage in health care should be seen as a fundamental right too because full access to medical, technological and pharmaceutical care is needed to preserve or recover one’s health. Coverage then becomes a key tool to have a real fundamental right to health; therefore, it is important to stress the need for “real” health coverage for all Americans, ie all citizens are coverage by some form of health insurance that grants full access to health levels; Americans need to have effective access to health services, and the issue that I want to stress out is that all citizens in the United States of America need the assurance that all diseases are covered by health insurance companies, or the state or federal government in the case of medical services such as Medicare and Medicaid. At this point I want to emphasize the need for a consensus between health insurance companies and the government to reach an agreement on the percentage on wages that citizens must pay to insurers, and also on the money that these companies receive for patient care coming from public health programs, the amount of money that they would perceive as tax-exemption, and the benefits that citizens would receive as mindful, complete and total health coverage, without paying more than the percentage specified as insurance premiums. </w:t>
      </w:r>
    </w:p>
    <w:p w:rsidR="00B34D49" w:rsidRDefault="00B34D49" w:rsidP="00B34D49">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The other factor for the system to be efficient, effective, and timed is the role played by the multinational pharmaceutical industry. It is important because it develops most of medicines, which subsequently are sheltered by patents that prevent the manufacturing formula from being used in an indiscriminate manner; the importance lies not only in the fact that they invest in the development, research, and production of medicines but also that they are the ones who initiate a medicines retail chain in which last link is the patient, thus making the system costs very high, as represented by medication charges as a whole. “Pharmaceutical companies are in the healthcare business. It is therefore not surprising that much of the interest in the ethics of the industry relates to the potential impact of company practices on the quality and cost of healthcare, access to healthcare, and the integrity of healthcare professionals.”</w:t>
      </w:r>
      <w:sdt>
        <w:sdtPr>
          <w:rPr>
            <w:rFonts w:ascii="Times New Roman" w:hAnsi="Times New Roman" w:cs="Times New Roman"/>
            <w:sz w:val="24"/>
            <w:szCs w:val="24"/>
          </w:rPr>
          <w:id w:val="-129249533"/>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Pos04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(Post)</w:t>
          </w:r>
          <w:r>
            <w:rPr>
              <w:rFonts w:ascii="Times New Roman" w:hAnsi="Times New Roman" w:cs="Times New Roman"/>
              <w:sz w:val="24"/>
              <w:szCs w:val="24"/>
            </w:rPr>
            <w:fldChar w:fldCharType="end"/>
          </w:r>
        </w:sdtContent>
      </w:sdt>
      <w:r>
        <w:rPr>
          <w:rFonts w:ascii="Times New Roman" w:hAnsi="Times New Roman" w:cs="Times New Roman"/>
          <w:sz w:val="24"/>
          <w:szCs w:val="24"/>
        </w:rPr>
        <w:t>.  The cost that patients pay for medicines is too high, and that price increases in chronic diseases, and those in high-cost illnesses; these medicines are generally not covered by insurance companies, and therefore people have to pay out-of-the-pocket for the high costs of these medicines. Still, the profits of pharmaceutical companies are very high. According to Fortune Magazine, profits of the largest companies within the pharmaceutical industry for 2012 were: “</w:t>
      </w:r>
    </w:p>
    <w:p w:rsidR="00B34D49" w:rsidRDefault="00B34D49" w:rsidP="00B34D49"/>
    <w:tbl>
      <w:tblPr>
        <w:tblStyle w:val="LightShading-Accent1"/>
        <w:tblW w:w="5000" w:type="pct"/>
        <w:tblLook w:val="0660" w:firstRow="1" w:lastRow="1" w:firstColumn="0" w:lastColumn="0" w:noHBand="1" w:noVBand="1"/>
      </w:tblPr>
      <w:tblGrid>
        <w:gridCol w:w="2394"/>
        <w:gridCol w:w="2394"/>
        <w:gridCol w:w="2394"/>
        <w:gridCol w:w="2394"/>
      </w:tblGrid>
      <w:tr w:rsidR="00B34D49" w:rsidTr="00995EA2">
        <w:trPr>
          <w:cnfStyle w:val="100000000000" w:firstRow="1" w:lastRow="0" w:firstColumn="0" w:lastColumn="0" w:oddVBand="0" w:evenVBand="0" w:oddHBand="0" w:evenHBand="0" w:firstRowFirstColumn="0" w:firstRowLastColumn="0" w:lastRowFirstColumn="0" w:lastRowLastColumn="0"/>
        </w:trPr>
        <w:tc>
          <w:tcPr>
            <w:tcW w:w="1250" w:type="pct"/>
            <w:noWrap/>
          </w:tcPr>
          <w:p w:rsidR="00B34D49" w:rsidRDefault="00B34D49" w:rsidP="00995EA2">
            <w:r>
              <w:t>Company</w:t>
            </w:r>
          </w:p>
        </w:tc>
        <w:tc>
          <w:tcPr>
            <w:tcW w:w="1250" w:type="pct"/>
          </w:tcPr>
          <w:p w:rsidR="00B34D49" w:rsidRDefault="00B34D49" w:rsidP="00995EA2">
            <w:r>
              <w:t>Revenues $ millions</w:t>
            </w:r>
          </w:p>
        </w:tc>
        <w:tc>
          <w:tcPr>
            <w:tcW w:w="1250" w:type="pct"/>
          </w:tcPr>
          <w:p w:rsidR="00B34D49" w:rsidRDefault="00B34D49" w:rsidP="00995EA2">
            <w:r>
              <w:t>Profits $ millions</w:t>
            </w:r>
          </w:p>
        </w:tc>
        <w:tc>
          <w:tcPr>
            <w:tcW w:w="1250" w:type="pct"/>
          </w:tcPr>
          <w:p w:rsidR="00B34D49" w:rsidRDefault="00B34D49" w:rsidP="00995EA2"/>
        </w:tc>
      </w:tr>
      <w:tr w:rsidR="00B34D49" w:rsidTr="00995EA2">
        <w:tc>
          <w:tcPr>
            <w:tcW w:w="1250" w:type="pct"/>
            <w:noWrap/>
          </w:tcPr>
          <w:p w:rsidR="00B34D49" w:rsidRDefault="00B34D49" w:rsidP="00995EA2"/>
        </w:tc>
        <w:tc>
          <w:tcPr>
            <w:tcW w:w="1250" w:type="pct"/>
          </w:tcPr>
          <w:p w:rsidR="00B34D49" w:rsidRDefault="00B34D49" w:rsidP="00995EA2">
            <w:pPr>
              <w:rPr>
                <w:rStyle w:val="SubtleEmphasis"/>
              </w:rPr>
            </w:pPr>
          </w:p>
        </w:tc>
        <w:tc>
          <w:tcPr>
            <w:tcW w:w="1250" w:type="pct"/>
          </w:tcPr>
          <w:p w:rsidR="00B34D49" w:rsidRDefault="00B34D49" w:rsidP="00995EA2"/>
        </w:tc>
        <w:tc>
          <w:tcPr>
            <w:tcW w:w="1250" w:type="pct"/>
          </w:tcPr>
          <w:p w:rsidR="00B34D49" w:rsidRDefault="00B34D49" w:rsidP="00995EA2"/>
        </w:tc>
      </w:tr>
      <w:tr w:rsidR="00B34D49" w:rsidTr="00995EA2">
        <w:tc>
          <w:tcPr>
            <w:tcW w:w="1250" w:type="pct"/>
            <w:noWrap/>
          </w:tcPr>
          <w:p w:rsidR="00B34D49" w:rsidRDefault="00B34D49" w:rsidP="00995EA2">
            <w:r>
              <w:t>Pfizer</w:t>
            </w:r>
          </w:p>
        </w:tc>
        <w:tc>
          <w:tcPr>
            <w:tcW w:w="1250" w:type="pct"/>
          </w:tcPr>
          <w:p w:rsidR="00B34D49" w:rsidRDefault="00B34D49" w:rsidP="00995EA2">
            <w:pPr>
              <w:pStyle w:val="DecimalAligned"/>
            </w:pPr>
            <w:r>
              <w:t>67,932.0</w:t>
            </w:r>
          </w:p>
        </w:tc>
        <w:tc>
          <w:tcPr>
            <w:tcW w:w="1250" w:type="pct"/>
          </w:tcPr>
          <w:p w:rsidR="00B34D49" w:rsidRDefault="00B34D49" w:rsidP="00995EA2">
            <w:pPr>
              <w:pStyle w:val="DecimalAligned"/>
            </w:pPr>
            <w:r>
              <w:t>10,009.0</w:t>
            </w:r>
          </w:p>
        </w:tc>
        <w:tc>
          <w:tcPr>
            <w:tcW w:w="1250" w:type="pct"/>
          </w:tcPr>
          <w:p w:rsidR="00B34D49" w:rsidRDefault="00B34D49" w:rsidP="00995EA2">
            <w:pPr>
              <w:pStyle w:val="DecimalAligned"/>
            </w:pPr>
          </w:p>
        </w:tc>
      </w:tr>
      <w:tr w:rsidR="00B34D49" w:rsidTr="00995EA2">
        <w:tc>
          <w:tcPr>
            <w:tcW w:w="1250" w:type="pct"/>
            <w:noWrap/>
          </w:tcPr>
          <w:p w:rsidR="00B34D49" w:rsidRDefault="00B34D49" w:rsidP="00995EA2">
            <w:r>
              <w:t>Johnson &amp; Johnson</w:t>
            </w:r>
          </w:p>
        </w:tc>
        <w:tc>
          <w:tcPr>
            <w:tcW w:w="1250" w:type="pct"/>
          </w:tcPr>
          <w:p w:rsidR="00B34D49" w:rsidRDefault="00B34D49" w:rsidP="00995EA2">
            <w:pPr>
              <w:pStyle w:val="DecimalAligned"/>
            </w:pPr>
            <w:r>
              <w:t>65,030.0</w:t>
            </w:r>
          </w:p>
        </w:tc>
        <w:tc>
          <w:tcPr>
            <w:tcW w:w="1250" w:type="pct"/>
          </w:tcPr>
          <w:p w:rsidR="00B34D49" w:rsidRDefault="00B34D49" w:rsidP="00995EA2">
            <w:pPr>
              <w:pStyle w:val="DecimalAligned"/>
            </w:pPr>
            <w:r>
              <w:t>9,672.0</w:t>
            </w:r>
          </w:p>
        </w:tc>
        <w:tc>
          <w:tcPr>
            <w:tcW w:w="1250" w:type="pct"/>
          </w:tcPr>
          <w:p w:rsidR="00B34D49" w:rsidRDefault="00B34D49" w:rsidP="00995EA2">
            <w:pPr>
              <w:pStyle w:val="DecimalAligned"/>
            </w:pPr>
          </w:p>
        </w:tc>
      </w:tr>
      <w:tr w:rsidR="00B34D49" w:rsidTr="00995EA2">
        <w:tc>
          <w:tcPr>
            <w:tcW w:w="1250" w:type="pct"/>
            <w:noWrap/>
          </w:tcPr>
          <w:p w:rsidR="00B34D49" w:rsidRDefault="00B34D49" w:rsidP="00995EA2">
            <w:r>
              <w:t xml:space="preserve">Merck </w:t>
            </w:r>
          </w:p>
        </w:tc>
        <w:tc>
          <w:tcPr>
            <w:tcW w:w="1250" w:type="pct"/>
          </w:tcPr>
          <w:p w:rsidR="00B34D49" w:rsidRDefault="00B34D49" w:rsidP="00995EA2">
            <w:pPr>
              <w:pStyle w:val="DecimalAligned"/>
            </w:pPr>
            <w:r>
              <w:t>48,047.0</w:t>
            </w:r>
          </w:p>
        </w:tc>
        <w:tc>
          <w:tcPr>
            <w:tcW w:w="1250" w:type="pct"/>
          </w:tcPr>
          <w:p w:rsidR="00B34D49" w:rsidRDefault="00B34D49" w:rsidP="00995EA2">
            <w:pPr>
              <w:pStyle w:val="DecimalAligned"/>
            </w:pPr>
            <w:r>
              <w:t>6,272.0</w:t>
            </w:r>
          </w:p>
        </w:tc>
        <w:tc>
          <w:tcPr>
            <w:tcW w:w="1250" w:type="pct"/>
          </w:tcPr>
          <w:p w:rsidR="00B34D49" w:rsidRDefault="00B34D49" w:rsidP="00995EA2">
            <w:pPr>
              <w:pStyle w:val="DecimalAligned"/>
            </w:pPr>
          </w:p>
        </w:tc>
      </w:tr>
      <w:tr w:rsidR="00B34D49" w:rsidTr="00995EA2">
        <w:tc>
          <w:tcPr>
            <w:tcW w:w="1250" w:type="pct"/>
            <w:noWrap/>
          </w:tcPr>
          <w:p w:rsidR="00B34D49" w:rsidRDefault="00B34D49" w:rsidP="00995EA2">
            <w:r>
              <w:t>Abbott Laboratories</w:t>
            </w:r>
          </w:p>
        </w:tc>
        <w:tc>
          <w:tcPr>
            <w:tcW w:w="1250" w:type="pct"/>
          </w:tcPr>
          <w:p w:rsidR="00B34D49" w:rsidRDefault="00B34D49" w:rsidP="00995EA2">
            <w:pPr>
              <w:pStyle w:val="DecimalAligned"/>
            </w:pPr>
            <w:r>
              <w:t>38,851.3</w:t>
            </w:r>
          </w:p>
        </w:tc>
        <w:tc>
          <w:tcPr>
            <w:tcW w:w="1250" w:type="pct"/>
          </w:tcPr>
          <w:p w:rsidR="00B34D49" w:rsidRDefault="00B34D49" w:rsidP="00995EA2">
            <w:pPr>
              <w:pStyle w:val="DecimalAligned"/>
            </w:pPr>
            <w:r>
              <w:t>4,728.4</w:t>
            </w:r>
          </w:p>
        </w:tc>
        <w:tc>
          <w:tcPr>
            <w:tcW w:w="1250" w:type="pct"/>
          </w:tcPr>
          <w:p w:rsidR="00B34D49" w:rsidRDefault="00B34D49" w:rsidP="00995EA2">
            <w:pPr>
              <w:pStyle w:val="DecimalAligned"/>
            </w:pPr>
          </w:p>
        </w:tc>
      </w:tr>
      <w:tr w:rsidR="00B34D49" w:rsidTr="00995EA2">
        <w:tc>
          <w:tcPr>
            <w:tcW w:w="1250" w:type="pct"/>
            <w:noWrap/>
          </w:tcPr>
          <w:p w:rsidR="00B34D49" w:rsidRDefault="00B34D49" w:rsidP="00995EA2">
            <w:r>
              <w:t>Eli Lilly</w:t>
            </w:r>
          </w:p>
        </w:tc>
        <w:tc>
          <w:tcPr>
            <w:tcW w:w="1250" w:type="pct"/>
          </w:tcPr>
          <w:p w:rsidR="00B34D49" w:rsidRDefault="00B34D49" w:rsidP="00995EA2">
            <w:pPr>
              <w:pStyle w:val="DecimalAligned"/>
            </w:pPr>
            <w:r>
              <w:t>24,286.5</w:t>
            </w:r>
          </w:p>
        </w:tc>
        <w:tc>
          <w:tcPr>
            <w:tcW w:w="1250" w:type="pct"/>
          </w:tcPr>
          <w:p w:rsidR="00B34D49" w:rsidRDefault="00B34D49" w:rsidP="00995EA2">
            <w:pPr>
              <w:pStyle w:val="DecimalAligned"/>
            </w:pPr>
            <w:r>
              <w:t>4,347.7</w:t>
            </w:r>
          </w:p>
        </w:tc>
        <w:tc>
          <w:tcPr>
            <w:tcW w:w="1250" w:type="pct"/>
          </w:tcPr>
          <w:p w:rsidR="00B34D49" w:rsidRDefault="00B34D49" w:rsidP="00995EA2">
            <w:pPr>
              <w:pStyle w:val="DecimalAligned"/>
            </w:pPr>
          </w:p>
        </w:tc>
      </w:tr>
      <w:tr w:rsidR="00B34D49" w:rsidTr="00995EA2">
        <w:tc>
          <w:tcPr>
            <w:tcW w:w="1250" w:type="pct"/>
            <w:noWrap/>
          </w:tcPr>
          <w:p w:rsidR="00B34D49" w:rsidRDefault="00B34D49" w:rsidP="00995EA2"/>
        </w:tc>
        <w:tc>
          <w:tcPr>
            <w:tcW w:w="1250" w:type="pct"/>
          </w:tcPr>
          <w:p w:rsidR="00B34D49" w:rsidRDefault="00B34D49" w:rsidP="00995EA2">
            <w:pPr>
              <w:rPr>
                <w:rStyle w:val="SubtleEmphasis"/>
              </w:rPr>
            </w:pPr>
          </w:p>
        </w:tc>
        <w:tc>
          <w:tcPr>
            <w:tcW w:w="1250" w:type="pct"/>
          </w:tcPr>
          <w:p w:rsidR="00B34D49" w:rsidRDefault="00B34D49" w:rsidP="00995EA2"/>
        </w:tc>
        <w:tc>
          <w:tcPr>
            <w:tcW w:w="1250" w:type="pct"/>
          </w:tcPr>
          <w:p w:rsidR="00B34D49" w:rsidRDefault="00B34D49" w:rsidP="00995EA2"/>
        </w:tc>
      </w:tr>
      <w:tr w:rsidR="00B34D49" w:rsidTr="00995EA2">
        <w:tc>
          <w:tcPr>
            <w:tcW w:w="1250" w:type="pct"/>
            <w:noWrap/>
          </w:tcPr>
          <w:p w:rsidR="00B34D49" w:rsidRDefault="00B34D49" w:rsidP="00995EA2"/>
        </w:tc>
        <w:tc>
          <w:tcPr>
            <w:tcW w:w="1250" w:type="pct"/>
          </w:tcPr>
          <w:p w:rsidR="00B34D49" w:rsidRDefault="00B34D49" w:rsidP="00995EA2">
            <w:pPr>
              <w:pStyle w:val="DecimalAligned"/>
            </w:pPr>
          </w:p>
        </w:tc>
        <w:tc>
          <w:tcPr>
            <w:tcW w:w="1250" w:type="pct"/>
          </w:tcPr>
          <w:p w:rsidR="00B34D49" w:rsidRDefault="00B34D49" w:rsidP="00995EA2">
            <w:pPr>
              <w:pStyle w:val="DecimalAligned"/>
            </w:pPr>
          </w:p>
        </w:tc>
        <w:tc>
          <w:tcPr>
            <w:tcW w:w="1250" w:type="pct"/>
          </w:tcPr>
          <w:p w:rsidR="00B34D49" w:rsidRDefault="00B34D49" w:rsidP="00995EA2">
            <w:pPr>
              <w:pStyle w:val="DecimalAligned"/>
            </w:pPr>
          </w:p>
        </w:tc>
      </w:tr>
      <w:tr w:rsidR="00B34D49" w:rsidTr="00995EA2">
        <w:tc>
          <w:tcPr>
            <w:tcW w:w="1250" w:type="pct"/>
            <w:noWrap/>
          </w:tcPr>
          <w:p w:rsidR="00B34D49" w:rsidRDefault="00B34D49" w:rsidP="00995EA2"/>
        </w:tc>
        <w:tc>
          <w:tcPr>
            <w:tcW w:w="1250" w:type="pct"/>
          </w:tcPr>
          <w:p w:rsidR="00B34D49" w:rsidRDefault="00B34D49" w:rsidP="00995EA2">
            <w:pPr>
              <w:pStyle w:val="DecimalAligned"/>
            </w:pPr>
          </w:p>
        </w:tc>
        <w:tc>
          <w:tcPr>
            <w:tcW w:w="1250" w:type="pct"/>
          </w:tcPr>
          <w:p w:rsidR="00B34D49" w:rsidRDefault="00B34D49" w:rsidP="00995EA2">
            <w:pPr>
              <w:pStyle w:val="DecimalAligned"/>
            </w:pPr>
          </w:p>
        </w:tc>
        <w:tc>
          <w:tcPr>
            <w:tcW w:w="1250" w:type="pct"/>
          </w:tcPr>
          <w:p w:rsidR="00B34D49" w:rsidRDefault="00B34D49" w:rsidP="00995EA2">
            <w:pPr>
              <w:pStyle w:val="DecimalAligned"/>
            </w:pPr>
          </w:p>
        </w:tc>
      </w:tr>
      <w:tr w:rsidR="00B34D49" w:rsidTr="00995EA2">
        <w:tc>
          <w:tcPr>
            <w:tcW w:w="1250" w:type="pct"/>
            <w:noWrap/>
          </w:tcPr>
          <w:p w:rsidR="00B34D49" w:rsidRDefault="00B34D49" w:rsidP="00995EA2"/>
        </w:tc>
        <w:tc>
          <w:tcPr>
            <w:tcW w:w="1250" w:type="pct"/>
          </w:tcPr>
          <w:p w:rsidR="00B34D49" w:rsidRDefault="00B34D49" w:rsidP="00995EA2">
            <w:pPr>
              <w:pStyle w:val="DecimalAligned"/>
            </w:pPr>
          </w:p>
        </w:tc>
        <w:tc>
          <w:tcPr>
            <w:tcW w:w="1250" w:type="pct"/>
          </w:tcPr>
          <w:p w:rsidR="00B34D49" w:rsidRDefault="00B34D49" w:rsidP="00995EA2">
            <w:pPr>
              <w:pStyle w:val="DecimalAligned"/>
            </w:pPr>
          </w:p>
        </w:tc>
        <w:tc>
          <w:tcPr>
            <w:tcW w:w="1250" w:type="pct"/>
          </w:tcPr>
          <w:p w:rsidR="00B34D49" w:rsidRDefault="00B34D49" w:rsidP="00995EA2">
            <w:pPr>
              <w:pStyle w:val="DecimalAligned"/>
            </w:pPr>
          </w:p>
        </w:tc>
      </w:tr>
      <w:tr w:rsidR="00B34D49" w:rsidTr="00995EA2">
        <w:tc>
          <w:tcPr>
            <w:tcW w:w="1250" w:type="pct"/>
            <w:noWrap/>
          </w:tcPr>
          <w:p w:rsidR="00B34D49" w:rsidRDefault="00B34D49" w:rsidP="00995EA2"/>
        </w:tc>
        <w:tc>
          <w:tcPr>
            <w:tcW w:w="1250" w:type="pct"/>
          </w:tcPr>
          <w:p w:rsidR="00B34D49" w:rsidRDefault="00B34D49" w:rsidP="00995EA2">
            <w:pPr>
              <w:pStyle w:val="DecimalAligned"/>
            </w:pPr>
          </w:p>
        </w:tc>
        <w:tc>
          <w:tcPr>
            <w:tcW w:w="1250" w:type="pct"/>
          </w:tcPr>
          <w:p w:rsidR="00B34D49" w:rsidRDefault="00B34D49" w:rsidP="00995EA2">
            <w:pPr>
              <w:pStyle w:val="DecimalAligned"/>
            </w:pPr>
          </w:p>
        </w:tc>
        <w:tc>
          <w:tcPr>
            <w:tcW w:w="1250" w:type="pct"/>
          </w:tcPr>
          <w:p w:rsidR="00B34D49" w:rsidRDefault="00B34D49" w:rsidP="00995EA2">
            <w:pPr>
              <w:pStyle w:val="DecimalAligned"/>
            </w:pPr>
          </w:p>
        </w:tc>
      </w:tr>
      <w:tr w:rsidR="00B34D49" w:rsidTr="00995EA2">
        <w:tc>
          <w:tcPr>
            <w:tcW w:w="1250" w:type="pct"/>
            <w:noWrap/>
          </w:tcPr>
          <w:p w:rsidR="00B34D49" w:rsidRDefault="00B34D49" w:rsidP="00995EA2"/>
        </w:tc>
        <w:tc>
          <w:tcPr>
            <w:tcW w:w="1250" w:type="pct"/>
          </w:tcPr>
          <w:p w:rsidR="00B34D49" w:rsidRDefault="00B34D49" w:rsidP="00995EA2">
            <w:pPr>
              <w:pStyle w:val="DecimalAligned"/>
            </w:pPr>
          </w:p>
        </w:tc>
        <w:tc>
          <w:tcPr>
            <w:tcW w:w="1250" w:type="pct"/>
          </w:tcPr>
          <w:p w:rsidR="00B34D49" w:rsidRDefault="00B34D49" w:rsidP="00995EA2">
            <w:pPr>
              <w:pStyle w:val="DecimalAligned"/>
            </w:pPr>
          </w:p>
        </w:tc>
        <w:tc>
          <w:tcPr>
            <w:tcW w:w="1250" w:type="pct"/>
          </w:tcPr>
          <w:p w:rsidR="00B34D49" w:rsidRDefault="00B34D49" w:rsidP="00995EA2">
            <w:pPr>
              <w:pStyle w:val="DecimalAligned"/>
            </w:pPr>
          </w:p>
        </w:tc>
      </w:tr>
      <w:tr w:rsidR="00B34D49" w:rsidTr="00995EA2">
        <w:trPr>
          <w:cnfStyle w:val="010000000000" w:firstRow="0" w:lastRow="1" w:firstColumn="0" w:lastColumn="0" w:oddVBand="0" w:evenVBand="0" w:oddHBand="0" w:evenHBand="0" w:firstRowFirstColumn="0" w:firstRowLastColumn="0" w:lastRowFirstColumn="0" w:lastRowLastColumn="0"/>
        </w:trPr>
        <w:tc>
          <w:tcPr>
            <w:tcW w:w="1250" w:type="pct"/>
            <w:noWrap/>
          </w:tcPr>
          <w:p w:rsidR="00B34D49" w:rsidRDefault="00B34D49" w:rsidP="00995EA2"/>
        </w:tc>
        <w:tc>
          <w:tcPr>
            <w:tcW w:w="1250" w:type="pct"/>
          </w:tcPr>
          <w:p w:rsidR="00B34D49" w:rsidRDefault="00B34D49" w:rsidP="00995EA2">
            <w:pPr>
              <w:pStyle w:val="DecimalAligned"/>
            </w:pPr>
          </w:p>
        </w:tc>
        <w:tc>
          <w:tcPr>
            <w:tcW w:w="1250" w:type="pct"/>
          </w:tcPr>
          <w:p w:rsidR="00B34D49" w:rsidRDefault="00B34D49" w:rsidP="00995EA2">
            <w:pPr>
              <w:pStyle w:val="DecimalAligned"/>
            </w:pPr>
          </w:p>
        </w:tc>
        <w:tc>
          <w:tcPr>
            <w:tcW w:w="1250" w:type="pct"/>
          </w:tcPr>
          <w:p w:rsidR="00B34D49" w:rsidRDefault="00B34D49" w:rsidP="00995EA2">
            <w:pPr>
              <w:pStyle w:val="DecimalAligned"/>
            </w:pPr>
          </w:p>
        </w:tc>
      </w:tr>
    </w:tbl>
    <w:p w:rsidR="00B34D49" w:rsidRDefault="00B34D49" w:rsidP="00B34D49">
      <w:pPr>
        <w:pStyle w:val="FootnoteText"/>
      </w:pPr>
    </w:p>
    <w:p w:rsidR="00B34D49" w:rsidRDefault="00B34D49" w:rsidP="00B34D49">
      <w:pPr>
        <w:pStyle w:val="FootnoteText"/>
      </w:pPr>
      <w:sdt>
        <w:sdtPr>
          <w:id w:val="1338887826"/>
          <w:citation/>
        </w:sdtPr>
        <w:sdtContent>
          <w:r>
            <w:fldChar w:fldCharType="begin"/>
          </w:r>
          <w:r>
            <w:instrText xml:space="preserve"> CITATION CNN12 \l 1033 </w:instrText>
          </w:r>
          <w:r>
            <w:fldChar w:fldCharType="separate"/>
          </w:r>
          <w:r>
            <w:rPr>
              <w:noProof/>
            </w:rPr>
            <w:t>(CNNMoney)</w:t>
          </w:r>
          <w:r>
            <w:fldChar w:fldCharType="end"/>
          </w:r>
        </w:sdtContent>
      </w:sdt>
    </w:p>
    <w:p w:rsidR="00B34D49" w:rsidRDefault="00B34D49" w:rsidP="00B34D49">
      <w:pPr>
        <w:pStyle w:val="FootnoteText"/>
      </w:pPr>
    </w:p>
    <w:p w:rsidR="00B34D49" w:rsidRDefault="00B34D49" w:rsidP="00B34D49">
      <w:pPr>
        <w:pStyle w:val="FootnoteText"/>
        <w:spacing w:line="480" w:lineRule="auto"/>
        <w:rPr>
          <w:rFonts w:ascii="Times New Roman" w:hAnsi="Times New Roman" w:cs="Times New Roman"/>
          <w:sz w:val="24"/>
          <w:szCs w:val="24"/>
        </w:rPr>
      </w:pPr>
      <w:r>
        <w:rPr>
          <w:rFonts w:ascii="Times New Roman" w:hAnsi="Times New Roman" w:cs="Times New Roman"/>
          <w:sz w:val="24"/>
          <w:szCs w:val="24"/>
        </w:rPr>
        <w:t xml:space="preserve">     The figures show that the drug business is lucrative for the companies that produce them but the question arises whether citizens should pay such a high cost for drugs they need?  This makes the health system increasingly expensive not only for the companies that provide health services but more importantly, to people who see the cost of medicines as an obstacle to achieve or maintain their health. Some patients affiliated to an insurance companies pay premiums that will cover basic medical care and certain drugs but very often they must render a copayment for them; in cases of high-cost diseases many companies do not cover the drugs that this patients require, and the price for these medicines make people unable to afford them and then have to give up taking them.</w:t>
      </w:r>
    </w:p>
    <w:p w:rsidR="00B34D49" w:rsidRDefault="00B34D49" w:rsidP="00B34D49">
      <w:pPr>
        <w:pStyle w:val="FootnoteText"/>
        <w:spacing w:line="480" w:lineRule="auto"/>
        <w:rPr>
          <w:rFonts w:ascii="Times New Roman" w:hAnsi="Times New Roman" w:cs="Times New Roman"/>
          <w:sz w:val="24"/>
          <w:szCs w:val="24"/>
        </w:rPr>
      </w:pPr>
      <w:r>
        <w:rPr>
          <w:rFonts w:ascii="Times New Roman" w:hAnsi="Times New Roman" w:cs="Times New Roman"/>
          <w:sz w:val="24"/>
          <w:szCs w:val="24"/>
        </w:rPr>
        <w:t xml:space="preserve">     “The global pharmaceutical market is worth US$ 300 billion a year, a figure expected to rise to US$ 400 billion within three years. The 10 largest drugs companies control over one-third of this market, several with sales of more than US$ 10 billion a year and profit margins of about 30%. Six are based in the United States and four in Europe. It is predicted that North and South America, Europe and Japan will continue to account for a full 85% of the global pharmaceuticals market well into the 21 st century.”</w:t>
      </w:r>
      <w:sdt>
        <w:sdtPr>
          <w:rPr>
            <w:rFonts w:ascii="Times New Roman" w:hAnsi="Times New Roman" w:cs="Times New Roman"/>
            <w:sz w:val="24"/>
            <w:szCs w:val="24"/>
          </w:rPr>
          <w:id w:val="-261229521"/>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Wor131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(Organization, WHO Pharmaceutical Industry)</w:t>
          </w:r>
          <w:r>
            <w:rPr>
              <w:rFonts w:ascii="Times New Roman" w:hAnsi="Times New Roman" w:cs="Times New Roman"/>
              <w:sz w:val="24"/>
              <w:szCs w:val="24"/>
            </w:rPr>
            <w:fldChar w:fldCharType="end"/>
          </w:r>
        </w:sdtContent>
      </w:sdt>
      <w:r>
        <w:rPr>
          <w:rFonts w:ascii="Times New Roman" w:hAnsi="Times New Roman" w:cs="Times New Roman"/>
          <w:sz w:val="24"/>
          <w:szCs w:val="24"/>
        </w:rPr>
        <w:t>.</w:t>
      </w:r>
    </w:p>
    <w:p w:rsidR="00B34D49" w:rsidRDefault="00B34D49" w:rsidP="00B34D49">
      <w:pPr>
        <w:pStyle w:val="FootnoteText"/>
        <w:spacing w:line="480" w:lineRule="auto"/>
        <w:rPr>
          <w:rFonts w:ascii="Times New Roman" w:hAnsi="Times New Roman" w:cs="Times New Roman"/>
          <w:sz w:val="24"/>
          <w:szCs w:val="24"/>
        </w:rPr>
      </w:pPr>
      <w:r>
        <w:rPr>
          <w:rFonts w:ascii="Times New Roman" w:hAnsi="Times New Roman" w:cs="Times New Roman"/>
          <w:sz w:val="24"/>
          <w:szCs w:val="24"/>
        </w:rPr>
        <w:t xml:space="preserve">     I believe that according to the figures shown, the price of drugs represents a financial burden to the effective access to health by citizens. My proposal is to increase and strengthen the creation of research laboratories in areas of interest for public health as well as production of generic drugs under a mixed economy, ie the participation of federal government on one hand and private companies</w:t>
      </w:r>
      <w:r w:rsidRPr="00F26DF6">
        <w:rPr>
          <w:rFonts w:ascii="Times New Roman" w:hAnsi="Times New Roman" w:cs="Times New Roman"/>
          <w:sz w:val="24"/>
          <w:szCs w:val="24"/>
        </w:rPr>
        <w:t xml:space="preserve"> </w:t>
      </w:r>
      <w:r>
        <w:rPr>
          <w:rFonts w:ascii="Times New Roman" w:hAnsi="Times New Roman" w:cs="Times New Roman"/>
          <w:sz w:val="24"/>
          <w:szCs w:val="24"/>
        </w:rPr>
        <w:t xml:space="preserve">on the other hand. Thus, Americans will have real access to the health system and at the same time will lower the cost of drugs which would results in a lower cost for insurance companies, hospitals and the entire system as a whole, lowering the bill regardless of </w:t>
      </w:r>
      <w:r>
        <w:rPr>
          <w:rFonts w:ascii="Times New Roman" w:hAnsi="Times New Roman" w:cs="Times New Roman"/>
          <w:sz w:val="24"/>
          <w:szCs w:val="24"/>
        </w:rPr>
        <w:lastRenderedPageBreak/>
        <w:t>the nature of the payer through government programs or through health care insurance companies.</w:t>
      </w:r>
    </w:p>
    <w:p w:rsidR="00B34D49" w:rsidRDefault="00B34D49" w:rsidP="00B34D49">
      <w:pPr>
        <w:pStyle w:val="FootnoteText"/>
        <w:spacing w:line="480" w:lineRule="auto"/>
        <w:rPr>
          <w:rFonts w:ascii="Times New Roman" w:hAnsi="Times New Roman" w:cs="Times New Roman"/>
          <w:sz w:val="24"/>
          <w:szCs w:val="24"/>
        </w:rPr>
      </w:pPr>
      <w:r>
        <w:rPr>
          <w:rFonts w:ascii="Times New Roman" w:hAnsi="Times New Roman" w:cs="Times New Roman"/>
          <w:sz w:val="24"/>
          <w:szCs w:val="24"/>
        </w:rPr>
        <w:t xml:space="preserve">     “A generic drug is a pharmaceutical product, usually intended to be interchangeable with an innovator product that is manufactured without a license from the innovator company and marketed after the expiry date of the patent or other exclusive rights.” Generic drugs are frequently as effective as, but much cheaper than, brand- name drugs.”</w:t>
      </w:r>
      <w:sdt>
        <w:sdtPr>
          <w:rPr>
            <w:rFonts w:ascii="Times New Roman" w:hAnsi="Times New Roman" w:cs="Times New Roman"/>
            <w:sz w:val="24"/>
            <w:szCs w:val="24"/>
          </w:rPr>
          <w:id w:val="1395623701"/>
          <w:citation/>
        </w:sdtPr>
        <w:sdtContent>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Wor132 \l 1033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w:t>
          </w:r>
          <w:r w:rsidRPr="00E7604D">
            <w:rPr>
              <w:rFonts w:ascii="Times New Roman" w:hAnsi="Times New Roman" w:cs="Times New Roman"/>
              <w:noProof/>
              <w:sz w:val="24"/>
              <w:szCs w:val="24"/>
            </w:rPr>
            <w:t>(Organization, WHO Trade, foreign, policy and health)</w:t>
          </w:r>
          <w:r>
            <w:rPr>
              <w:rFonts w:ascii="Times New Roman" w:hAnsi="Times New Roman" w:cs="Times New Roman"/>
              <w:sz w:val="24"/>
              <w:szCs w:val="24"/>
            </w:rPr>
            <w:fldChar w:fldCharType="end"/>
          </w:r>
        </w:sdtContent>
      </w:sdt>
      <w:r>
        <w:rPr>
          <w:rFonts w:ascii="Times New Roman" w:hAnsi="Times New Roman" w:cs="Times New Roman"/>
          <w:sz w:val="24"/>
          <w:szCs w:val="24"/>
        </w:rPr>
        <w:t>. The pharmaceutical industry spends a lot of money on the development and marketing of a drug. However, the business is usually so lucrative that it allows the generation of billions of dollars as profits. If we conceive that the generic laboratories may work with mixed participation of government and private companies, it could lower the costs of the health system and would be beneficial for all stakeholders.</w:t>
      </w:r>
    </w:p>
    <w:p w:rsidR="00B34D49" w:rsidRDefault="00B34D49" w:rsidP="00B34D49">
      <w:pPr>
        <w:pStyle w:val="FootnoteText"/>
        <w:spacing w:line="480" w:lineRule="auto"/>
        <w:rPr>
          <w:rFonts w:ascii="Times New Roman" w:hAnsi="Times New Roman" w:cs="Times New Roman"/>
          <w:sz w:val="24"/>
          <w:szCs w:val="24"/>
        </w:rPr>
      </w:pPr>
      <w:r>
        <w:rPr>
          <w:rFonts w:ascii="Times New Roman" w:hAnsi="Times New Roman" w:cs="Times New Roman"/>
          <w:sz w:val="24"/>
          <w:szCs w:val="24"/>
        </w:rPr>
        <w:t xml:space="preserve">     My conclusion is that health is a fundamental right that must be protected and that all citizens are entitled to it. The reform to the health care system of the United States known as The Patient Protection and Affordable Care Act (PPACA) aims to increase coverage to most of the citizens though affiliation to some form of health insurance. I think the situation of the health system is very complex and requires several factors to be considered. I don’t believe that the system that will be implemented will solve many of the difficulties faced by users of health services, particularly when it comes to the low coverage of high-cost diseases and access to high-tech treatments and high cost drugs. To contribute to the analysis, I have presented some proposals to make the system more efficient and accessible to all citizens such as the concept of real, universal medical coverage, from the health system; the payment of a fixed premium as a fraction of income in exchange for total health coverage ( no preexisting diseases considered) including high-cost diseases; Federal and state tax cuts in favor of health insurance companies in </w:t>
      </w:r>
      <w:r>
        <w:rPr>
          <w:rFonts w:ascii="Times New Roman" w:hAnsi="Times New Roman" w:cs="Times New Roman"/>
          <w:sz w:val="24"/>
          <w:szCs w:val="24"/>
        </w:rPr>
        <w:lastRenderedPageBreak/>
        <w:t>exchange for full, unlimited coverage for policyholders, and finally the creation of mixed economy pharmaceutical companies centered in the production and distribution of highly-used generic drugs so the access to medications and its costs for the health system as a whole benefits everybody. We can’t forget that everyone, young or old at some point will have a high cost disease or require expensive high-tech treatments.</w:t>
      </w:r>
    </w:p>
    <w:p w:rsidR="00BE4A3F" w:rsidRPr="006D4CAD" w:rsidRDefault="00BE4A3F" w:rsidP="00BE4A3F">
      <w:pPr>
        <w:pStyle w:val="FootnoteText"/>
        <w:spacing w:line="480" w:lineRule="auto"/>
        <w:rPr>
          <w:rFonts w:ascii="Times New Roman" w:hAnsi="Times New Roman" w:cs="Times New Roman"/>
          <w:sz w:val="24"/>
          <w:szCs w:val="24"/>
        </w:rPr>
      </w:pPr>
      <w:bookmarkStart w:id="0" w:name="_GoBack"/>
      <w:bookmarkEnd w:id="0"/>
    </w:p>
    <w:p w:rsidR="00BE4A3F" w:rsidRDefault="00BE4A3F" w:rsidP="00BE4A3F">
      <w:pPr>
        <w:spacing w:line="480" w:lineRule="auto"/>
        <w:jc w:val="both"/>
        <w:rPr>
          <w:rFonts w:ascii="Times New Roman" w:hAnsi="Times New Roman" w:cs="Times New Roman"/>
          <w:sz w:val="24"/>
          <w:szCs w:val="24"/>
        </w:rPr>
      </w:pPr>
    </w:p>
    <w:p w:rsidR="00BE4A3F" w:rsidRDefault="00BE4A3F" w:rsidP="00BE4A3F">
      <w:pPr>
        <w:spacing w:line="480" w:lineRule="auto"/>
        <w:jc w:val="both"/>
        <w:rPr>
          <w:rFonts w:ascii="Times New Roman" w:hAnsi="Times New Roman" w:cs="Times New Roman"/>
          <w:sz w:val="24"/>
          <w:szCs w:val="24"/>
        </w:rPr>
      </w:pPr>
    </w:p>
    <w:sdt>
      <w:sdtPr>
        <w:rPr>
          <w:rFonts w:asciiTheme="minorHAnsi" w:eastAsiaTheme="minorHAnsi" w:hAnsiTheme="minorHAnsi" w:cstheme="minorBidi"/>
          <w:b w:val="0"/>
          <w:bCs w:val="0"/>
          <w:color w:val="auto"/>
          <w:sz w:val="22"/>
          <w:szCs w:val="22"/>
          <w:lang w:eastAsia="en-US"/>
        </w:rPr>
        <w:id w:val="-1240099520"/>
        <w:docPartObj>
          <w:docPartGallery w:val="Bibliographies"/>
          <w:docPartUnique/>
        </w:docPartObj>
      </w:sdtPr>
      <w:sdtEndPr/>
      <w:sdtContent>
        <w:p w:rsidR="00BE4A3F" w:rsidRDefault="00BE4A3F" w:rsidP="00BE4A3F">
          <w:pPr>
            <w:pStyle w:val="Heading1"/>
            <w:rPr>
              <w:rFonts w:asciiTheme="minorHAnsi" w:eastAsiaTheme="minorHAnsi" w:hAnsiTheme="minorHAnsi" w:cstheme="minorBidi"/>
              <w:b w:val="0"/>
              <w:bCs w:val="0"/>
              <w:color w:val="auto"/>
              <w:sz w:val="22"/>
              <w:szCs w:val="22"/>
              <w:lang w:eastAsia="en-US"/>
            </w:rPr>
          </w:pPr>
        </w:p>
        <w:p w:rsidR="00BE4A3F" w:rsidRDefault="00BE4A3F" w:rsidP="00BE4A3F">
          <w:pPr>
            <w:pStyle w:val="Heading1"/>
            <w:rPr>
              <w:rFonts w:asciiTheme="minorHAnsi" w:eastAsiaTheme="minorHAnsi" w:hAnsiTheme="minorHAnsi" w:cstheme="minorBidi"/>
              <w:b w:val="0"/>
              <w:bCs w:val="0"/>
              <w:color w:val="auto"/>
              <w:sz w:val="22"/>
              <w:szCs w:val="22"/>
              <w:lang w:eastAsia="en-US"/>
            </w:rPr>
          </w:pPr>
        </w:p>
        <w:p w:rsidR="00BE4A3F" w:rsidRDefault="00BE4A3F" w:rsidP="00BE4A3F">
          <w:pPr>
            <w:pStyle w:val="Heading1"/>
            <w:rPr>
              <w:rFonts w:asciiTheme="minorHAnsi" w:eastAsiaTheme="minorHAnsi" w:hAnsiTheme="minorHAnsi" w:cstheme="minorBidi"/>
              <w:b w:val="0"/>
              <w:bCs w:val="0"/>
              <w:color w:val="auto"/>
              <w:sz w:val="22"/>
              <w:szCs w:val="22"/>
              <w:lang w:eastAsia="en-US"/>
            </w:rPr>
          </w:pPr>
        </w:p>
        <w:p w:rsidR="00BE4A3F" w:rsidRPr="00F7526E" w:rsidRDefault="00BE4A3F" w:rsidP="00BE4A3F"/>
        <w:p w:rsidR="00BE4A3F" w:rsidRDefault="00BE4A3F" w:rsidP="00BE4A3F">
          <w:pPr>
            <w:pStyle w:val="Heading1"/>
          </w:pPr>
        </w:p>
        <w:p w:rsidR="00BE4A3F" w:rsidRDefault="00BE4A3F" w:rsidP="00BE4A3F">
          <w:pPr>
            <w:pStyle w:val="Heading1"/>
          </w:pPr>
        </w:p>
        <w:p w:rsidR="00BE4A3F" w:rsidRDefault="00BE4A3F" w:rsidP="00BE4A3F">
          <w:pPr>
            <w:pStyle w:val="Heading1"/>
          </w:pPr>
        </w:p>
        <w:p w:rsidR="00BE4A3F" w:rsidRDefault="00BE4A3F" w:rsidP="00BE4A3F">
          <w:pPr>
            <w:pStyle w:val="Heading1"/>
          </w:pPr>
        </w:p>
        <w:p w:rsidR="00BE4A3F" w:rsidRDefault="00BE4A3F" w:rsidP="00BE4A3F">
          <w:pPr>
            <w:rPr>
              <w:lang w:eastAsia="ja-JP"/>
            </w:rPr>
          </w:pPr>
        </w:p>
        <w:p w:rsidR="00BE4A3F" w:rsidRPr="00E7604D" w:rsidRDefault="00BE4A3F" w:rsidP="00BE4A3F">
          <w:pPr>
            <w:spacing w:line="480" w:lineRule="auto"/>
            <w:rPr>
              <w:rFonts w:ascii="Times New Roman" w:hAnsi="Times New Roman" w:cs="Times New Roman"/>
              <w:sz w:val="24"/>
              <w:szCs w:val="24"/>
              <w:lang w:eastAsia="ja-JP"/>
            </w:rPr>
          </w:pPr>
        </w:p>
        <w:p w:rsidR="00BE4A3F" w:rsidRDefault="00BE4A3F" w:rsidP="00BE4A3F">
          <w:pPr>
            <w:pStyle w:val="Heading1"/>
          </w:pPr>
          <w:r>
            <w:lastRenderedPageBreak/>
            <w:t>Works Cited</w:t>
          </w:r>
        </w:p>
        <w:p w:rsidR="00BE4A3F" w:rsidRDefault="00BE4A3F" w:rsidP="00BE4A3F">
          <w:pPr>
            <w:pStyle w:val="Bibliography"/>
            <w:ind w:left="720" w:hanging="720"/>
            <w:rPr>
              <w:noProof/>
            </w:rPr>
          </w:pPr>
          <w:r>
            <w:fldChar w:fldCharType="begin"/>
          </w:r>
          <w:r>
            <w:instrText xml:space="preserve"> BIBLIOGRAPHY </w:instrText>
          </w:r>
          <w:r>
            <w:fldChar w:fldCharType="separate"/>
          </w:r>
          <w:r>
            <w:rPr>
              <w:noProof/>
            </w:rPr>
            <w:t xml:space="preserve">Bureau, United States Census. "U.S. Census Bureau." 2010. </w:t>
          </w:r>
          <w:r>
            <w:rPr>
              <w:i/>
              <w:iCs/>
              <w:noProof/>
            </w:rPr>
            <w:t>asd.internet.staff@census.gov.</w:t>
          </w:r>
          <w:r>
            <w:rPr>
              <w:noProof/>
            </w:rPr>
            <w:t xml:space="preserve"> Web. 05 April 2013.</w:t>
          </w:r>
        </w:p>
        <w:p w:rsidR="00BE4A3F" w:rsidRDefault="00BE4A3F" w:rsidP="00BE4A3F">
          <w:pPr>
            <w:pStyle w:val="Bibliography"/>
            <w:ind w:left="720" w:hanging="720"/>
            <w:rPr>
              <w:noProof/>
            </w:rPr>
          </w:pPr>
          <w:r>
            <w:rPr>
              <w:noProof/>
            </w:rPr>
            <w:t xml:space="preserve">CNNMoney. "Fortune 500 2012:Industry:Pharmaceuticals." 21 May 2012. </w:t>
          </w:r>
          <w:r>
            <w:rPr>
              <w:i/>
              <w:iCs/>
              <w:noProof/>
            </w:rPr>
            <w:t>money.cnn.com.</w:t>
          </w:r>
          <w:r>
            <w:rPr>
              <w:noProof/>
            </w:rPr>
            <w:t xml:space="preserve"> Web. 05 April 2013.</w:t>
          </w:r>
        </w:p>
        <w:p w:rsidR="00BE4A3F" w:rsidRDefault="00BE4A3F" w:rsidP="00BE4A3F">
          <w:pPr>
            <w:pStyle w:val="Bibliography"/>
            <w:ind w:left="720" w:hanging="720"/>
            <w:rPr>
              <w:noProof/>
            </w:rPr>
          </w:pPr>
          <w:r>
            <w:rPr>
              <w:noProof/>
            </w:rPr>
            <w:t xml:space="preserve">Dickler, Jessica. "CNN Money Family health care costs to exceed $20,00 this year." 29 March 2012. </w:t>
          </w:r>
          <w:r>
            <w:rPr>
              <w:i/>
              <w:iCs/>
              <w:noProof/>
            </w:rPr>
            <w:t>money.cnn.com.</w:t>
          </w:r>
          <w:r>
            <w:rPr>
              <w:noProof/>
            </w:rPr>
            <w:t xml:space="preserve"> Web. 07 April 2013.</w:t>
          </w:r>
        </w:p>
        <w:p w:rsidR="00BE4A3F" w:rsidRDefault="00BE4A3F" w:rsidP="00BE4A3F">
          <w:pPr>
            <w:pStyle w:val="Bibliography"/>
            <w:ind w:left="720" w:hanging="720"/>
            <w:rPr>
              <w:noProof/>
            </w:rPr>
          </w:pPr>
          <w:r>
            <w:rPr>
              <w:noProof/>
            </w:rPr>
            <w:t xml:space="preserve">Emily Smith and Caitlin Stark, CNN Library. "CNN Politics." 28 June 2012. </w:t>
          </w:r>
          <w:r>
            <w:rPr>
              <w:i/>
              <w:iCs/>
              <w:noProof/>
            </w:rPr>
            <w:t>www.cnn.com.</w:t>
          </w:r>
          <w:r>
            <w:rPr>
              <w:noProof/>
            </w:rPr>
            <w:t xml:space="preserve"> Web. 01 March 2013.</w:t>
          </w:r>
        </w:p>
        <w:p w:rsidR="00BE4A3F" w:rsidRDefault="00BE4A3F" w:rsidP="00BE4A3F">
          <w:pPr>
            <w:pStyle w:val="Bibliography"/>
            <w:ind w:left="720" w:hanging="720"/>
            <w:rPr>
              <w:noProof/>
            </w:rPr>
          </w:pPr>
          <w:r>
            <w:rPr>
              <w:noProof/>
            </w:rPr>
            <w:t xml:space="preserve">Kliff, Sarah. "The Washington Post FAQ: Everything you need to know about Obamacare's coverage options, in one post." 26 November 2012. </w:t>
          </w:r>
          <w:r>
            <w:rPr>
              <w:i/>
              <w:iCs/>
              <w:noProof/>
            </w:rPr>
            <w:t>www.washingtonpost.com.</w:t>
          </w:r>
          <w:r>
            <w:rPr>
              <w:noProof/>
            </w:rPr>
            <w:t xml:space="preserve"> Web. 06 April 2013.</w:t>
          </w:r>
        </w:p>
        <w:p w:rsidR="00BE4A3F" w:rsidRDefault="00BE4A3F" w:rsidP="00BE4A3F">
          <w:pPr>
            <w:pStyle w:val="Bibliography"/>
            <w:ind w:left="720" w:hanging="720"/>
            <w:rPr>
              <w:noProof/>
            </w:rPr>
          </w:pPr>
          <w:r>
            <w:rPr>
              <w:noProof/>
            </w:rPr>
            <w:t xml:space="preserve">Money, CNN. "Fourtune 500 2012: Industry: Health Care:Insurance." 2012. </w:t>
          </w:r>
          <w:r>
            <w:rPr>
              <w:i/>
              <w:iCs/>
              <w:noProof/>
            </w:rPr>
            <w:t>money.cnn.com.</w:t>
          </w:r>
          <w:r>
            <w:rPr>
              <w:noProof/>
            </w:rPr>
            <w:t xml:space="preserve"> Web. 05 April 2013.</w:t>
          </w:r>
        </w:p>
        <w:p w:rsidR="00BE4A3F" w:rsidRDefault="00BE4A3F" w:rsidP="00BE4A3F">
          <w:pPr>
            <w:pStyle w:val="Bibliography"/>
            <w:ind w:left="720" w:hanging="720"/>
            <w:rPr>
              <w:noProof/>
            </w:rPr>
          </w:pPr>
          <w:r>
            <w:rPr>
              <w:noProof/>
            </w:rPr>
            <w:t xml:space="preserve">Organization, World Health. "WHO." n.d. </w:t>
          </w:r>
          <w:r>
            <w:rPr>
              <w:i/>
              <w:iCs/>
              <w:noProof/>
            </w:rPr>
            <w:t>www.who.int/governance/eb/constitution.</w:t>
          </w:r>
          <w:r>
            <w:rPr>
              <w:noProof/>
            </w:rPr>
            <w:t xml:space="preserve"> Web. 03 April 2013.</w:t>
          </w:r>
        </w:p>
        <w:p w:rsidR="00BE4A3F" w:rsidRDefault="00BE4A3F" w:rsidP="00BE4A3F">
          <w:pPr>
            <w:pStyle w:val="Bibliography"/>
            <w:ind w:left="720" w:hanging="720"/>
            <w:rPr>
              <w:noProof/>
            </w:rPr>
          </w:pPr>
          <w:r>
            <w:rPr>
              <w:noProof/>
            </w:rPr>
            <w:t xml:space="preserve">—. "WHO LEVELS OF HEALTH SERVICES." n.d. </w:t>
          </w:r>
          <w:r>
            <w:rPr>
              <w:i/>
              <w:iCs/>
              <w:noProof/>
            </w:rPr>
            <w:t>who.</w:t>
          </w:r>
          <w:r>
            <w:rPr>
              <w:noProof/>
            </w:rPr>
            <w:t xml:space="preserve"> Web. 14 March 2013.</w:t>
          </w:r>
        </w:p>
        <w:p w:rsidR="00BE4A3F" w:rsidRDefault="00BE4A3F" w:rsidP="00BE4A3F">
          <w:pPr>
            <w:pStyle w:val="Bibliography"/>
            <w:ind w:left="720" w:hanging="720"/>
            <w:rPr>
              <w:noProof/>
            </w:rPr>
          </w:pPr>
          <w:r>
            <w:rPr>
              <w:noProof/>
            </w:rPr>
            <w:t xml:space="preserve">—. "WHO Pharmaceutical Industry." 2013. </w:t>
          </w:r>
          <w:r>
            <w:rPr>
              <w:i/>
              <w:iCs/>
              <w:noProof/>
            </w:rPr>
            <w:t>www.who.int.</w:t>
          </w:r>
          <w:r>
            <w:rPr>
              <w:noProof/>
            </w:rPr>
            <w:t xml:space="preserve"> Web. 05 April 2013.</w:t>
          </w:r>
        </w:p>
        <w:p w:rsidR="00BE4A3F" w:rsidRDefault="00BE4A3F" w:rsidP="00BE4A3F">
          <w:pPr>
            <w:pStyle w:val="Bibliography"/>
            <w:ind w:left="720" w:hanging="720"/>
            <w:rPr>
              <w:noProof/>
            </w:rPr>
          </w:pPr>
          <w:r>
            <w:rPr>
              <w:noProof/>
            </w:rPr>
            <w:t xml:space="preserve">—. "WHO Trade, foreign, policy and health." 2013. </w:t>
          </w:r>
          <w:r>
            <w:rPr>
              <w:i/>
              <w:iCs/>
              <w:noProof/>
            </w:rPr>
            <w:t>www.who.</w:t>
          </w:r>
          <w:r>
            <w:rPr>
              <w:noProof/>
            </w:rPr>
            <w:t xml:space="preserve"> Web. 20 March 2013.</w:t>
          </w:r>
        </w:p>
        <w:p w:rsidR="00BE4A3F" w:rsidRDefault="00BE4A3F" w:rsidP="00BE4A3F">
          <w:pPr>
            <w:pStyle w:val="Bibliography"/>
            <w:ind w:left="720" w:hanging="720"/>
            <w:rPr>
              <w:noProof/>
            </w:rPr>
          </w:pPr>
          <w:r>
            <w:rPr>
              <w:noProof/>
            </w:rPr>
            <w:t xml:space="preserve">—. "WHO/Global Heath Expediture Database." 2013. </w:t>
          </w:r>
          <w:r>
            <w:rPr>
              <w:i/>
              <w:iCs/>
              <w:noProof/>
            </w:rPr>
            <w:t>www.who.int/nha/database.</w:t>
          </w:r>
          <w:r>
            <w:rPr>
              <w:noProof/>
            </w:rPr>
            <w:t xml:space="preserve"> web. 05 May 2013.</w:t>
          </w:r>
        </w:p>
        <w:p w:rsidR="00BE4A3F" w:rsidRDefault="00BE4A3F" w:rsidP="00BE4A3F">
          <w:pPr>
            <w:pStyle w:val="Bibliography"/>
            <w:ind w:left="720" w:hanging="720"/>
            <w:rPr>
              <w:noProof/>
            </w:rPr>
          </w:pPr>
          <w:r>
            <w:rPr>
              <w:noProof/>
            </w:rPr>
            <w:t xml:space="preserve">—. "WHO/Health systems." 2010. </w:t>
          </w:r>
          <w:r>
            <w:rPr>
              <w:i/>
              <w:iCs/>
              <w:noProof/>
            </w:rPr>
            <w:t>www.who.int/topics/health-systems.</w:t>
          </w:r>
          <w:r>
            <w:rPr>
              <w:noProof/>
            </w:rPr>
            <w:t xml:space="preserve"> web. May 2013.</w:t>
          </w:r>
        </w:p>
        <w:p w:rsidR="00BE4A3F" w:rsidRDefault="00BE4A3F" w:rsidP="00BE4A3F">
          <w:pPr>
            <w:pStyle w:val="Bibliography"/>
            <w:ind w:left="720" w:hanging="720"/>
            <w:rPr>
              <w:noProof/>
            </w:rPr>
          </w:pPr>
          <w:r>
            <w:rPr>
              <w:noProof/>
            </w:rPr>
            <w:t xml:space="preserve">Post, Stephen G. "galegroup.com.cos Encyclopedia of Bioethics." 2004. </w:t>
          </w:r>
          <w:r>
            <w:rPr>
              <w:i/>
              <w:iCs/>
              <w:noProof/>
            </w:rPr>
            <w:t>Gale Virtual Reference Library.</w:t>
          </w:r>
          <w:r>
            <w:rPr>
              <w:noProof/>
            </w:rPr>
            <w:t xml:space="preserve"> Web. 02 Mar 2013.</w:t>
          </w:r>
        </w:p>
        <w:p w:rsidR="00BE4A3F" w:rsidRDefault="00BE4A3F" w:rsidP="00BE4A3F">
          <w:pPr>
            <w:pStyle w:val="Bibliography"/>
            <w:ind w:left="720" w:hanging="720"/>
            <w:rPr>
              <w:noProof/>
            </w:rPr>
          </w:pPr>
          <w:r>
            <w:rPr>
              <w:noProof/>
            </w:rPr>
            <w:t xml:space="preserve">Promotion, Centers for disease Control and Prevention Chronic Disease and Health. "National Center for Chronic Disease Prevention and Health Promotion." n.d. </w:t>
          </w:r>
          <w:r>
            <w:rPr>
              <w:i/>
              <w:iCs/>
              <w:noProof/>
            </w:rPr>
            <w:t>www.cdc.gov/nccdphp/.</w:t>
          </w:r>
          <w:r>
            <w:rPr>
              <w:noProof/>
            </w:rPr>
            <w:t xml:space="preserve"> web. 02 April 2013.</w:t>
          </w:r>
        </w:p>
        <w:p w:rsidR="00BE4A3F" w:rsidRDefault="00BE4A3F" w:rsidP="00BE4A3F">
          <w:pPr>
            <w:pStyle w:val="Bibliography"/>
            <w:ind w:left="720" w:hanging="720"/>
            <w:rPr>
              <w:noProof/>
            </w:rPr>
          </w:pPr>
          <w:r>
            <w:rPr>
              <w:noProof/>
            </w:rPr>
            <w:t xml:space="preserve">Reynolds, Bara. "The Washington Post." 06 July 2012. </w:t>
          </w:r>
          <w:r>
            <w:rPr>
              <w:i/>
              <w:iCs/>
              <w:noProof/>
            </w:rPr>
            <w:t>www.washingtonpost.com.</w:t>
          </w:r>
          <w:r>
            <w:rPr>
              <w:noProof/>
            </w:rPr>
            <w:t xml:space="preserve"> web. 2013.</w:t>
          </w:r>
        </w:p>
        <w:p w:rsidR="00BE4A3F" w:rsidRDefault="00BE4A3F" w:rsidP="00BE4A3F">
          <w:pPr>
            <w:pStyle w:val="Bibliography"/>
            <w:ind w:left="720" w:hanging="720"/>
            <w:rPr>
              <w:noProof/>
            </w:rPr>
          </w:pPr>
          <w:r>
            <w:rPr>
              <w:noProof/>
            </w:rPr>
            <w:t xml:space="preserve">Sahadi, Jeanne. "CNNMoney." 13 April 2012. </w:t>
          </w:r>
          <w:r>
            <w:rPr>
              <w:i/>
              <w:iCs/>
              <w:noProof/>
            </w:rPr>
            <w:t>www.money.cnn.com.</w:t>
          </w:r>
          <w:r>
            <w:rPr>
              <w:noProof/>
            </w:rPr>
            <w:t xml:space="preserve"> web. 02 May 2013.</w:t>
          </w:r>
        </w:p>
        <w:p w:rsidR="004C79DD" w:rsidRPr="00D80CD5" w:rsidRDefault="00BE4A3F" w:rsidP="00BE4A3F">
          <w:r>
            <w:rPr>
              <w:b/>
              <w:bCs/>
            </w:rPr>
            <w:fldChar w:fldCharType="end"/>
          </w:r>
        </w:p>
      </w:sdtContent>
    </w:sdt>
    <w:sectPr w:rsidR="004C79DD" w:rsidRPr="00D80CD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18E8" w:rsidRDefault="004B18E8" w:rsidP="001B15BF">
      <w:pPr>
        <w:spacing w:after="0" w:line="240" w:lineRule="auto"/>
      </w:pPr>
      <w:r>
        <w:separator/>
      </w:r>
    </w:p>
  </w:endnote>
  <w:endnote w:type="continuationSeparator" w:id="0">
    <w:p w:rsidR="004B18E8" w:rsidRDefault="004B18E8" w:rsidP="001B15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18E8" w:rsidRDefault="004B18E8" w:rsidP="001B15BF">
      <w:pPr>
        <w:spacing w:after="0" w:line="240" w:lineRule="auto"/>
      </w:pPr>
      <w:r>
        <w:separator/>
      </w:r>
    </w:p>
  </w:footnote>
  <w:footnote w:type="continuationSeparator" w:id="0">
    <w:p w:rsidR="004B18E8" w:rsidRDefault="004B18E8" w:rsidP="001B15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8266211"/>
      <w:docPartObj>
        <w:docPartGallery w:val="Page Numbers (Top of Page)"/>
        <w:docPartUnique/>
      </w:docPartObj>
    </w:sdtPr>
    <w:sdtEndPr>
      <w:rPr>
        <w:noProof/>
      </w:rPr>
    </w:sdtEndPr>
    <w:sdtContent>
      <w:p w:rsidR="00091B2B" w:rsidRDefault="00091B2B">
        <w:pPr>
          <w:pStyle w:val="Header"/>
          <w:jc w:val="right"/>
        </w:pPr>
        <w:r>
          <w:fldChar w:fldCharType="begin"/>
        </w:r>
        <w:r>
          <w:instrText xml:space="preserve"> PAGE   \* MERGEFORMAT </w:instrText>
        </w:r>
        <w:r>
          <w:fldChar w:fldCharType="separate"/>
        </w:r>
        <w:r w:rsidR="00B34D49">
          <w:rPr>
            <w:noProof/>
          </w:rPr>
          <w:t>11</w:t>
        </w:r>
        <w:r>
          <w:rPr>
            <w:noProof/>
          </w:rPr>
          <w:fldChar w:fldCharType="end"/>
        </w:r>
      </w:p>
    </w:sdtContent>
  </w:sdt>
  <w:p w:rsidR="00091B2B" w:rsidRDefault="00091B2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170"/>
    <w:rsid w:val="00004017"/>
    <w:rsid w:val="00012825"/>
    <w:rsid w:val="000569B2"/>
    <w:rsid w:val="000711A6"/>
    <w:rsid w:val="0007431A"/>
    <w:rsid w:val="0007547B"/>
    <w:rsid w:val="00075CA9"/>
    <w:rsid w:val="00090FEA"/>
    <w:rsid w:val="00091B2B"/>
    <w:rsid w:val="000B459D"/>
    <w:rsid w:val="000B5795"/>
    <w:rsid w:val="000C4B84"/>
    <w:rsid w:val="000D01D9"/>
    <w:rsid w:val="000D384E"/>
    <w:rsid w:val="000D4C06"/>
    <w:rsid w:val="000D4DBB"/>
    <w:rsid w:val="000D4DE9"/>
    <w:rsid w:val="000E16F1"/>
    <w:rsid w:val="000E4F91"/>
    <w:rsid w:val="000E6699"/>
    <w:rsid w:val="000F4EE2"/>
    <w:rsid w:val="000F53AA"/>
    <w:rsid w:val="000F6994"/>
    <w:rsid w:val="00107E2F"/>
    <w:rsid w:val="0011446D"/>
    <w:rsid w:val="00115536"/>
    <w:rsid w:val="00121C51"/>
    <w:rsid w:val="00125F3B"/>
    <w:rsid w:val="00131B08"/>
    <w:rsid w:val="001349AE"/>
    <w:rsid w:val="00134F6C"/>
    <w:rsid w:val="00145527"/>
    <w:rsid w:val="0015078C"/>
    <w:rsid w:val="00153970"/>
    <w:rsid w:val="0015432D"/>
    <w:rsid w:val="00190B7D"/>
    <w:rsid w:val="00193644"/>
    <w:rsid w:val="001A3BC8"/>
    <w:rsid w:val="001A625C"/>
    <w:rsid w:val="001A7EB5"/>
    <w:rsid w:val="001B0477"/>
    <w:rsid w:val="001B0681"/>
    <w:rsid w:val="001B11DC"/>
    <w:rsid w:val="001B15BF"/>
    <w:rsid w:val="001B2F67"/>
    <w:rsid w:val="001C574A"/>
    <w:rsid w:val="001E1BDC"/>
    <w:rsid w:val="001F2574"/>
    <w:rsid w:val="0021030F"/>
    <w:rsid w:val="00230A25"/>
    <w:rsid w:val="00235E27"/>
    <w:rsid w:val="002474EE"/>
    <w:rsid w:val="002513DA"/>
    <w:rsid w:val="0025215D"/>
    <w:rsid w:val="00263ED8"/>
    <w:rsid w:val="00272BA3"/>
    <w:rsid w:val="00274F54"/>
    <w:rsid w:val="002A2487"/>
    <w:rsid w:val="002A6EA2"/>
    <w:rsid w:val="002B2929"/>
    <w:rsid w:val="002B3515"/>
    <w:rsid w:val="002B40F7"/>
    <w:rsid w:val="002C266D"/>
    <w:rsid w:val="002C5C41"/>
    <w:rsid w:val="002D4AC0"/>
    <w:rsid w:val="002D58F1"/>
    <w:rsid w:val="002D6054"/>
    <w:rsid w:val="002D7C85"/>
    <w:rsid w:val="002F0AE8"/>
    <w:rsid w:val="002F2170"/>
    <w:rsid w:val="002F264A"/>
    <w:rsid w:val="0030547F"/>
    <w:rsid w:val="003239EF"/>
    <w:rsid w:val="0033388A"/>
    <w:rsid w:val="00335527"/>
    <w:rsid w:val="003358B1"/>
    <w:rsid w:val="00351621"/>
    <w:rsid w:val="00351E10"/>
    <w:rsid w:val="00356093"/>
    <w:rsid w:val="00377617"/>
    <w:rsid w:val="00382E8F"/>
    <w:rsid w:val="00384A00"/>
    <w:rsid w:val="003920B0"/>
    <w:rsid w:val="003A4743"/>
    <w:rsid w:val="003A4744"/>
    <w:rsid w:val="003B5C87"/>
    <w:rsid w:val="003B5ED0"/>
    <w:rsid w:val="003C257B"/>
    <w:rsid w:val="003C3DE3"/>
    <w:rsid w:val="003C7B0C"/>
    <w:rsid w:val="003D63F1"/>
    <w:rsid w:val="003D7B34"/>
    <w:rsid w:val="003E2D7A"/>
    <w:rsid w:val="003F31A7"/>
    <w:rsid w:val="0040519D"/>
    <w:rsid w:val="0040774B"/>
    <w:rsid w:val="00407FB1"/>
    <w:rsid w:val="00411DAA"/>
    <w:rsid w:val="004133B9"/>
    <w:rsid w:val="0041447A"/>
    <w:rsid w:val="00417A72"/>
    <w:rsid w:val="00430F37"/>
    <w:rsid w:val="00431560"/>
    <w:rsid w:val="00432ABC"/>
    <w:rsid w:val="00433BCB"/>
    <w:rsid w:val="00435007"/>
    <w:rsid w:val="00441222"/>
    <w:rsid w:val="00450935"/>
    <w:rsid w:val="00462376"/>
    <w:rsid w:val="00462B11"/>
    <w:rsid w:val="004726AD"/>
    <w:rsid w:val="00477DA5"/>
    <w:rsid w:val="00480082"/>
    <w:rsid w:val="00494A57"/>
    <w:rsid w:val="004A1BC0"/>
    <w:rsid w:val="004A770D"/>
    <w:rsid w:val="004B18E8"/>
    <w:rsid w:val="004B2B12"/>
    <w:rsid w:val="004B384A"/>
    <w:rsid w:val="004C1874"/>
    <w:rsid w:val="004C79DD"/>
    <w:rsid w:val="004D2947"/>
    <w:rsid w:val="004E52C2"/>
    <w:rsid w:val="004E710F"/>
    <w:rsid w:val="004E7E7F"/>
    <w:rsid w:val="004F675E"/>
    <w:rsid w:val="004F6EA9"/>
    <w:rsid w:val="0050106D"/>
    <w:rsid w:val="0051009E"/>
    <w:rsid w:val="00510C48"/>
    <w:rsid w:val="0051276D"/>
    <w:rsid w:val="00520D12"/>
    <w:rsid w:val="0052115E"/>
    <w:rsid w:val="005458B4"/>
    <w:rsid w:val="0054780C"/>
    <w:rsid w:val="00555C59"/>
    <w:rsid w:val="005859C4"/>
    <w:rsid w:val="00596146"/>
    <w:rsid w:val="005A142E"/>
    <w:rsid w:val="005A189B"/>
    <w:rsid w:val="005A65F1"/>
    <w:rsid w:val="005C4AAB"/>
    <w:rsid w:val="005D3835"/>
    <w:rsid w:val="005D7C91"/>
    <w:rsid w:val="005E0740"/>
    <w:rsid w:val="005E3141"/>
    <w:rsid w:val="005F1004"/>
    <w:rsid w:val="00600B1C"/>
    <w:rsid w:val="00600DD5"/>
    <w:rsid w:val="0060118E"/>
    <w:rsid w:val="00616D3C"/>
    <w:rsid w:val="00626136"/>
    <w:rsid w:val="006329E9"/>
    <w:rsid w:val="006371F0"/>
    <w:rsid w:val="006518E3"/>
    <w:rsid w:val="006736A6"/>
    <w:rsid w:val="0069013A"/>
    <w:rsid w:val="00692F13"/>
    <w:rsid w:val="006B358D"/>
    <w:rsid w:val="006C081B"/>
    <w:rsid w:val="006C3DDD"/>
    <w:rsid w:val="006C4887"/>
    <w:rsid w:val="006D4CAD"/>
    <w:rsid w:val="006D51F8"/>
    <w:rsid w:val="006E1DF0"/>
    <w:rsid w:val="006E4115"/>
    <w:rsid w:val="006E58F4"/>
    <w:rsid w:val="006F491E"/>
    <w:rsid w:val="006F502D"/>
    <w:rsid w:val="007001ED"/>
    <w:rsid w:val="007015B8"/>
    <w:rsid w:val="00702296"/>
    <w:rsid w:val="00715157"/>
    <w:rsid w:val="00724AE6"/>
    <w:rsid w:val="00743200"/>
    <w:rsid w:val="00752316"/>
    <w:rsid w:val="00762A99"/>
    <w:rsid w:val="00767413"/>
    <w:rsid w:val="00782F08"/>
    <w:rsid w:val="007863C3"/>
    <w:rsid w:val="00787A5A"/>
    <w:rsid w:val="007912B2"/>
    <w:rsid w:val="007B4A5F"/>
    <w:rsid w:val="007C1983"/>
    <w:rsid w:val="007C2E1A"/>
    <w:rsid w:val="007D35DB"/>
    <w:rsid w:val="007D76C1"/>
    <w:rsid w:val="007E0226"/>
    <w:rsid w:val="007E199A"/>
    <w:rsid w:val="007E3E29"/>
    <w:rsid w:val="007F33C9"/>
    <w:rsid w:val="00800553"/>
    <w:rsid w:val="008039ED"/>
    <w:rsid w:val="0081117C"/>
    <w:rsid w:val="00816362"/>
    <w:rsid w:val="0083710F"/>
    <w:rsid w:val="0085172F"/>
    <w:rsid w:val="00854E06"/>
    <w:rsid w:val="00865575"/>
    <w:rsid w:val="00867469"/>
    <w:rsid w:val="00875400"/>
    <w:rsid w:val="00890A93"/>
    <w:rsid w:val="00895A7C"/>
    <w:rsid w:val="0089712A"/>
    <w:rsid w:val="008A31B2"/>
    <w:rsid w:val="008A6147"/>
    <w:rsid w:val="008B75D1"/>
    <w:rsid w:val="008D0A33"/>
    <w:rsid w:val="008D3DBA"/>
    <w:rsid w:val="008D667F"/>
    <w:rsid w:val="008D6914"/>
    <w:rsid w:val="008E0618"/>
    <w:rsid w:val="008E34C4"/>
    <w:rsid w:val="008E4CF3"/>
    <w:rsid w:val="009033B9"/>
    <w:rsid w:val="00911589"/>
    <w:rsid w:val="009117A9"/>
    <w:rsid w:val="00920731"/>
    <w:rsid w:val="009251F3"/>
    <w:rsid w:val="009334AA"/>
    <w:rsid w:val="00935EFA"/>
    <w:rsid w:val="00937D5F"/>
    <w:rsid w:val="009449D8"/>
    <w:rsid w:val="0094786C"/>
    <w:rsid w:val="00952E60"/>
    <w:rsid w:val="00954E03"/>
    <w:rsid w:val="00960047"/>
    <w:rsid w:val="009617E8"/>
    <w:rsid w:val="009637B0"/>
    <w:rsid w:val="0096785F"/>
    <w:rsid w:val="00970042"/>
    <w:rsid w:val="00971D3F"/>
    <w:rsid w:val="00973ACF"/>
    <w:rsid w:val="00986129"/>
    <w:rsid w:val="009912CD"/>
    <w:rsid w:val="00997C16"/>
    <w:rsid w:val="009A18A8"/>
    <w:rsid w:val="009C0726"/>
    <w:rsid w:val="009C2B74"/>
    <w:rsid w:val="009D57C3"/>
    <w:rsid w:val="009D58FA"/>
    <w:rsid w:val="009E0449"/>
    <w:rsid w:val="009E78BA"/>
    <w:rsid w:val="009F68AD"/>
    <w:rsid w:val="009F7E44"/>
    <w:rsid w:val="00A042ED"/>
    <w:rsid w:val="00A17CE0"/>
    <w:rsid w:val="00A207A9"/>
    <w:rsid w:val="00A2213A"/>
    <w:rsid w:val="00A37290"/>
    <w:rsid w:val="00A3778C"/>
    <w:rsid w:val="00A43683"/>
    <w:rsid w:val="00A469B5"/>
    <w:rsid w:val="00A5039C"/>
    <w:rsid w:val="00A515BE"/>
    <w:rsid w:val="00A550EF"/>
    <w:rsid w:val="00A62913"/>
    <w:rsid w:val="00A67A52"/>
    <w:rsid w:val="00A717F2"/>
    <w:rsid w:val="00A752BF"/>
    <w:rsid w:val="00A75F3D"/>
    <w:rsid w:val="00A77B93"/>
    <w:rsid w:val="00A92295"/>
    <w:rsid w:val="00A96851"/>
    <w:rsid w:val="00AB5D5B"/>
    <w:rsid w:val="00AC1E25"/>
    <w:rsid w:val="00AC640D"/>
    <w:rsid w:val="00AD5233"/>
    <w:rsid w:val="00AF47D6"/>
    <w:rsid w:val="00AF48E2"/>
    <w:rsid w:val="00AF7B78"/>
    <w:rsid w:val="00B045EE"/>
    <w:rsid w:val="00B120BB"/>
    <w:rsid w:val="00B20E71"/>
    <w:rsid w:val="00B251AF"/>
    <w:rsid w:val="00B34D49"/>
    <w:rsid w:val="00B34E58"/>
    <w:rsid w:val="00B5010E"/>
    <w:rsid w:val="00B60D5D"/>
    <w:rsid w:val="00B67D05"/>
    <w:rsid w:val="00B70842"/>
    <w:rsid w:val="00B71B69"/>
    <w:rsid w:val="00B748F4"/>
    <w:rsid w:val="00B74D0A"/>
    <w:rsid w:val="00B750C5"/>
    <w:rsid w:val="00B75BFA"/>
    <w:rsid w:val="00B827DC"/>
    <w:rsid w:val="00BA2D10"/>
    <w:rsid w:val="00BA3E33"/>
    <w:rsid w:val="00BA71FF"/>
    <w:rsid w:val="00BA7461"/>
    <w:rsid w:val="00BB46D7"/>
    <w:rsid w:val="00BC5F85"/>
    <w:rsid w:val="00BD5535"/>
    <w:rsid w:val="00BE4A3F"/>
    <w:rsid w:val="00BF2686"/>
    <w:rsid w:val="00C041F8"/>
    <w:rsid w:val="00C1556D"/>
    <w:rsid w:val="00C3683F"/>
    <w:rsid w:val="00C441C6"/>
    <w:rsid w:val="00C51EEC"/>
    <w:rsid w:val="00C55FD3"/>
    <w:rsid w:val="00C6594D"/>
    <w:rsid w:val="00C67585"/>
    <w:rsid w:val="00C924BF"/>
    <w:rsid w:val="00CA2193"/>
    <w:rsid w:val="00CA4F24"/>
    <w:rsid w:val="00CB768A"/>
    <w:rsid w:val="00CC0111"/>
    <w:rsid w:val="00CC4150"/>
    <w:rsid w:val="00CD4D86"/>
    <w:rsid w:val="00CE1766"/>
    <w:rsid w:val="00CE56B8"/>
    <w:rsid w:val="00CE60E6"/>
    <w:rsid w:val="00CF283B"/>
    <w:rsid w:val="00CF3EFE"/>
    <w:rsid w:val="00CF52E8"/>
    <w:rsid w:val="00D02EF0"/>
    <w:rsid w:val="00D03843"/>
    <w:rsid w:val="00D04068"/>
    <w:rsid w:val="00D126AE"/>
    <w:rsid w:val="00D177FC"/>
    <w:rsid w:val="00D32A87"/>
    <w:rsid w:val="00D369B9"/>
    <w:rsid w:val="00D37E78"/>
    <w:rsid w:val="00D42276"/>
    <w:rsid w:val="00D45BD9"/>
    <w:rsid w:val="00D52D41"/>
    <w:rsid w:val="00D670DA"/>
    <w:rsid w:val="00D7702C"/>
    <w:rsid w:val="00D80CD5"/>
    <w:rsid w:val="00D84182"/>
    <w:rsid w:val="00D975AE"/>
    <w:rsid w:val="00DB1D2D"/>
    <w:rsid w:val="00DB462B"/>
    <w:rsid w:val="00DB7F8F"/>
    <w:rsid w:val="00DC52BC"/>
    <w:rsid w:val="00DD1ECC"/>
    <w:rsid w:val="00DE41A1"/>
    <w:rsid w:val="00DE473F"/>
    <w:rsid w:val="00DE75C2"/>
    <w:rsid w:val="00DE7E8E"/>
    <w:rsid w:val="00DF53D9"/>
    <w:rsid w:val="00E003DE"/>
    <w:rsid w:val="00E02182"/>
    <w:rsid w:val="00E04EFB"/>
    <w:rsid w:val="00E05688"/>
    <w:rsid w:val="00E15D06"/>
    <w:rsid w:val="00E2025C"/>
    <w:rsid w:val="00E24BE5"/>
    <w:rsid w:val="00E40F8F"/>
    <w:rsid w:val="00E413D8"/>
    <w:rsid w:val="00E60773"/>
    <w:rsid w:val="00E60EEF"/>
    <w:rsid w:val="00E63DF5"/>
    <w:rsid w:val="00E71341"/>
    <w:rsid w:val="00E75F52"/>
    <w:rsid w:val="00E7604D"/>
    <w:rsid w:val="00E84B70"/>
    <w:rsid w:val="00E8775B"/>
    <w:rsid w:val="00E97F16"/>
    <w:rsid w:val="00EA6596"/>
    <w:rsid w:val="00EB24A7"/>
    <w:rsid w:val="00EB4736"/>
    <w:rsid w:val="00EC61C8"/>
    <w:rsid w:val="00ED2753"/>
    <w:rsid w:val="00EE0C84"/>
    <w:rsid w:val="00EE5A36"/>
    <w:rsid w:val="00EE7372"/>
    <w:rsid w:val="00EF449F"/>
    <w:rsid w:val="00EF4C78"/>
    <w:rsid w:val="00F008F3"/>
    <w:rsid w:val="00F028B5"/>
    <w:rsid w:val="00F141D4"/>
    <w:rsid w:val="00F175B5"/>
    <w:rsid w:val="00F17A5E"/>
    <w:rsid w:val="00F26DF6"/>
    <w:rsid w:val="00F3136E"/>
    <w:rsid w:val="00F32715"/>
    <w:rsid w:val="00F36787"/>
    <w:rsid w:val="00F37BE4"/>
    <w:rsid w:val="00F4122A"/>
    <w:rsid w:val="00F70EAF"/>
    <w:rsid w:val="00F7526E"/>
    <w:rsid w:val="00F75BA7"/>
    <w:rsid w:val="00F800C1"/>
    <w:rsid w:val="00F917C7"/>
    <w:rsid w:val="00F94998"/>
    <w:rsid w:val="00F94E9B"/>
    <w:rsid w:val="00F96B23"/>
    <w:rsid w:val="00F97652"/>
    <w:rsid w:val="00FA3271"/>
    <w:rsid w:val="00FA5F36"/>
    <w:rsid w:val="00FA6FEE"/>
    <w:rsid w:val="00FB004F"/>
    <w:rsid w:val="00FB0295"/>
    <w:rsid w:val="00FB0FC3"/>
    <w:rsid w:val="00FB7690"/>
    <w:rsid w:val="00FC4309"/>
    <w:rsid w:val="00FD6E37"/>
    <w:rsid w:val="00FD7141"/>
    <w:rsid w:val="00FE3425"/>
    <w:rsid w:val="00FE5B24"/>
    <w:rsid w:val="00FF34BE"/>
    <w:rsid w:val="00FF7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F7E44"/>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1B15BF"/>
    <w:pPr>
      <w:spacing w:after="0" w:line="240" w:lineRule="auto"/>
    </w:pPr>
    <w:rPr>
      <w:sz w:val="20"/>
      <w:szCs w:val="20"/>
    </w:rPr>
  </w:style>
  <w:style w:type="character" w:customStyle="1" w:styleId="FootnoteTextChar">
    <w:name w:val="Footnote Text Char"/>
    <w:basedOn w:val="DefaultParagraphFont"/>
    <w:link w:val="FootnoteText"/>
    <w:uiPriority w:val="99"/>
    <w:rsid w:val="001B15BF"/>
    <w:rPr>
      <w:sz w:val="20"/>
      <w:szCs w:val="20"/>
    </w:rPr>
  </w:style>
  <w:style w:type="character" w:styleId="FootnoteReference">
    <w:name w:val="footnote reference"/>
    <w:basedOn w:val="DefaultParagraphFont"/>
    <w:uiPriority w:val="99"/>
    <w:semiHidden/>
    <w:unhideWhenUsed/>
    <w:rsid w:val="001B15BF"/>
    <w:rPr>
      <w:vertAlign w:val="superscript"/>
    </w:rPr>
  </w:style>
  <w:style w:type="paragraph" w:styleId="EndnoteText">
    <w:name w:val="endnote text"/>
    <w:basedOn w:val="Normal"/>
    <w:link w:val="EndnoteTextChar"/>
    <w:uiPriority w:val="99"/>
    <w:semiHidden/>
    <w:unhideWhenUsed/>
    <w:rsid w:val="00CE56B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E56B8"/>
    <w:rPr>
      <w:sz w:val="20"/>
      <w:szCs w:val="20"/>
    </w:rPr>
  </w:style>
  <w:style w:type="character" w:styleId="EndnoteReference">
    <w:name w:val="endnote reference"/>
    <w:basedOn w:val="DefaultParagraphFont"/>
    <w:uiPriority w:val="99"/>
    <w:semiHidden/>
    <w:unhideWhenUsed/>
    <w:rsid w:val="00CE56B8"/>
    <w:rPr>
      <w:vertAlign w:val="superscript"/>
    </w:rPr>
  </w:style>
  <w:style w:type="paragraph" w:styleId="BalloonText">
    <w:name w:val="Balloon Text"/>
    <w:basedOn w:val="Normal"/>
    <w:link w:val="BalloonTextChar"/>
    <w:uiPriority w:val="99"/>
    <w:semiHidden/>
    <w:unhideWhenUsed/>
    <w:rsid w:val="00CE56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56B8"/>
    <w:rPr>
      <w:rFonts w:ascii="Tahoma" w:hAnsi="Tahoma" w:cs="Tahoma"/>
      <w:sz w:val="16"/>
      <w:szCs w:val="16"/>
    </w:rPr>
  </w:style>
  <w:style w:type="paragraph" w:styleId="TableofFigures">
    <w:name w:val="table of figures"/>
    <w:basedOn w:val="Normal"/>
    <w:next w:val="Normal"/>
    <w:uiPriority w:val="99"/>
    <w:unhideWhenUsed/>
    <w:rsid w:val="0041447A"/>
    <w:pPr>
      <w:spacing w:after="0"/>
      <w:ind w:left="440" w:hanging="440"/>
    </w:pPr>
    <w:rPr>
      <w:b/>
      <w:bCs/>
      <w:sz w:val="20"/>
      <w:szCs w:val="20"/>
    </w:rPr>
  </w:style>
  <w:style w:type="table" w:styleId="TableGrid">
    <w:name w:val="Table Grid"/>
    <w:basedOn w:val="TableNormal"/>
    <w:uiPriority w:val="59"/>
    <w:rsid w:val="004144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
    <w:name w:val="Light List"/>
    <w:basedOn w:val="TableNormal"/>
    <w:uiPriority w:val="61"/>
    <w:rsid w:val="00EA6596"/>
    <w:pPr>
      <w:spacing w:after="0" w:line="240" w:lineRule="auto"/>
    </w:pPr>
    <w:rPr>
      <w:rFonts w:eastAsiaTheme="minorEastAsia"/>
      <w:lang w:eastAsia="ja-JP"/>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DecimalAligned">
    <w:name w:val="Decimal Aligned"/>
    <w:basedOn w:val="Normal"/>
    <w:uiPriority w:val="40"/>
    <w:qFormat/>
    <w:rsid w:val="00EA6596"/>
    <w:pPr>
      <w:tabs>
        <w:tab w:val="decimal" w:pos="360"/>
      </w:tabs>
    </w:pPr>
    <w:rPr>
      <w:lang w:eastAsia="ja-JP"/>
    </w:rPr>
  </w:style>
  <w:style w:type="character" w:styleId="SubtleEmphasis">
    <w:name w:val="Subtle Emphasis"/>
    <w:basedOn w:val="DefaultParagraphFont"/>
    <w:uiPriority w:val="19"/>
    <w:qFormat/>
    <w:rsid w:val="00EA6596"/>
    <w:rPr>
      <w:i/>
      <w:iCs/>
      <w:color w:val="7F7F7F" w:themeColor="text1" w:themeTint="80"/>
    </w:rPr>
  </w:style>
  <w:style w:type="table" w:styleId="LightShading-Accent1">
    <w:name w:val="Light Shading Accent 1"/>
    <w:basedOn w:val="TableNormal"/>
    <w:uiPriority w:val="60"/>
    <w:rsid w:val="00EA6596"/>
    <w:pPr>
      <w:spacing w:after="0" w:line="240" w:lineRule="auto"/>
    </w:pPr>
    <w:rPr>
      <w:rFonts w:eastAsiaTheme="minorEastAsia"/>
      <w:color w:val="365F91" w:themeColor="accent1" w:themeShade="BF"/>
      <w:lang w:eastAsia="ja-JP"/>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Bibliography">
    <w:name w:val="Bibliography"/>
    <w:basedOn w:val="Normal"/>
    <w:next w:val="Normal"/>
    <w:uiPriority w:val="37"/>
    <w:unhideWhenUsed/>
    <w:rsid w:val="004A1BC0"/>
  </w:style>
  <w:style w:type="paragraph" w:styleId="Header">
    <w:name w:val="header"/>
    <w:basedOn w:val="Normal"/>
    <w:link w:val="HeaderChar"/>
    <w:uiPriority w:val="99"/>
    <w:unhideWhenUsed/>
    <w:rsid w:val="00B501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010E"/>
  </w:style>
  <w:style w:type="paragraph" w:styleId="Footer">
    <w:name w:val="footer"/>
    <w:basedOn w:val="Normal"/>
    <w:link w:val="FooterChar"/>
    <w:uiPriority w:val="99"/>
    <w:unhideWhenUsed/>
    <w:rsid w:val="00B501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010E"/>
  </w:style>
  <w:style w:type="character" w:customStyle="1" w:styleId="Heading1Char">
    <w:name w:val="Heading 1 Char"/>
    <w:basedOn w:val="DefaultParagraphFont"/>
    <w:link w:val="Heading1"/>
    <w:uiPriority w:val="9"/>
    <w:rsid w:val="009F7E44"/>
    <w:rPr>
      <w:rFonts w:asciiTheme="majorHAnsi" w:eastAsiaTheme="majorEastAsia" w:hAnsiTheme="majorHAnsi" w:cstheme="majorBidi"/>
      <w:b/>
      <w:bCs/>
      <w:color w:val="365F91" w:themeColor="accent1" w:themeShade="BF"/>
      <w:sz w:val="28"/>
      <w:szCs w:val="28"/>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F7E44"/>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1B15BF"/>
    <w:pPr>
      <w:spacing w:after="0" w:line="240" w:lineRule="auto"/>
    </w:pPr>
    <w:rPr>
      <w:sz w:val="20"/>
      <w:szCs w:val="20"/>
    </w:rPr>
  </w:style>
  <w:style w:type="character" w:customStyle="1" w:styleId="FootnoteTextChar">
    <w:name w:val="Footnote Text Char"/>
    <w:basedOn w:val="DefaultParagraphFont"/>
    <w:link w:val="FootnoteText"/>
    <w:uiPriority w:val="99"/>
    <w:rsid w:val="001B15BF"/>
    <w:rPr>
      <w:sz w:val="20"/>
      <w:szCs w:val="20"/>
    </w:rPr>
  </w:style>
  <w:style w:type="character" w:styleId="FootnoteReference">
    <w:name w:val="footnote reference"/>
    <w:basedOn w:val="DefaultParagraphFont"/>
    <w:uiPriority w:val="99"/>
    <w:semiHidden/>
    <w:unhideWhenUsed/>
    <w:rsid w:val="001B15BF"/>
    <w:rPr>
      <w:vertAlign w:val="superscript"/>
    </w:rPr>
  </w:style>
  <w:style w:type="paragraph" w:styleId="EndnoteText">
    <w:name w:val="endnote text"/>
    <w:basedOn w:val="Normal"/>
    <w:link w:val="EndnoteTextChar"/>
    <w:uiPriority w:val="99"/>
    <w:semiHidden/>
    <w:unhideWhenUsed/>
    <w:rsid w:val="00CE56B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E56B8"/>
    <w:rPr>
      <w:sz w:val="20"/>
      <w:szCs w:val="20"/>
    </w:rPr>
  </w:style>
  <w:style w:type="character" w:styleId="EndnoteReference">
    <w:name w:val="endnote reference"/>
    <w:basedOn w:val="DefaultParagraphFont"/>
    <w:uiPriority w:val="99"/>
    <w:semiHidden/>
    <w:unhideWhenUsed/>
    <w:rsid w:val="00CE56B8"/>
    <w:rPr>
      <w:vertAlign w:val="superscript"/>
    </w:rPr>
  </w:style>
  <w:style w:type="paragraph" w:styleId="BalloonText">
    <w:name w:val="Balloon Text"/>
    <w:basedOn w:val="Normal"/>
    <w:link w:val="BalloonTextChar"/>
    <w:uiPriority w:val="99"/>
    <w:semiHidden/>
    <w:unhideWhenUsed/>
    <w:rsid w:val="00CE56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56B8"/>
    <w:rPr>
      <w:rFonts w:ascii="Tahoma" w:hAnsi="Tahoma" w:cs="Tahoma"/>
      <w:sz w:val="16"/>
      <w:szCs w:val="16"/>
    </w:rPr>
  </w:style>
  <w:style w:type="paragraph" w:styleId="TableofFigures">
    <w:name w:val="table of figures"/>
    <w:basedOn w:val="Normal"/>
    <w:next w:val="Normal"/>
    <w:uiPriority w:val="99"/>
    <w:unhideWhenUsed/>
    <w:rsid w:val="0041447A"/>
    <w:pPr>
      <w:spacing w:after="0"/>
      <w:ind w:left="440" w:hanging="440"/>
    </w:pPr>
    <w:rPr>
      <w:b/>
      <w:bCs/>
      <w:sz w:val="20"/>
      <w:szCs w:val="20"/>
    </w:rPr>
  </w:style>
  <w:style w:type="table" w:styleId="TableGrid">
    <w:name w:val="Table Grid"/>
    <w:basedOn w:val="TableNormal"/>
    <w:uiPriority w:val="59"/>
    <w:rsid w:val="004144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
    <w:name w:val="Light List"/>
    <w:basedOn w:val="TableNormal"/>
    <w:uiPriority w:val="61"/>
    <w:rsid w:val="00EA6596"/>
    <w:pPr>
      <w:spacing w:after="0" w:line="240" w:lineRule="auto"/>
    </w:pPr>
    <w:rPr>
      <w:rFonts w:eastAsiaTheme="minorEastAsia"/>
      <w:lang w:eastAsia="ja-JP"/>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DecimalAligned">
    <w:name w:val="Decimal Aligned"/>
    <w:basedOn w:val="Normal"/>
    <w:uiPriority w:val="40"/>
    <w:qFormat/>
    <w:rsid w:val="00EA6596"/>
    <w:pPr>
      <w:tabs>
        <w:tab w:val="decimal" w:pos="360"/>
      </w:tabs>
    </w:pPr>
    <w:rPr>
      <w:lang w:eastAsia="ja-JP"/>
    </w:rPr>
  </w:style>
  <w:style w:type="character" w:styleId="SubtleEmphasis">
    <w:name w:val="Subtle Emphasis"/>
    <w:basedOn w:val="DefaultParagraphFont"/>
    <w:uiPriority w:val="19"/>
    <w:qFormat/>
    <w:rsid w:val="00EA6596"/>
    <w:rPr>
      <w:i/>
      <w:iCs/>
      <w:color w:val="7F7F7F" w:themeColor="text1" w:themeTint="80"/>
    </w:rPr>
  </w:style>
  <w:style w:type="table" w:styleId="LightShading-Accent1">
    <w:name w:val="Light Shading Accent 1"/>
    <w:basedOn w:val="TableNormal"/>
    <w:uiPriority w:val="60"/>
    <w:rsid w:val="00EA6596"/>
    <w:pPr>
      <w:spacing w:after="0" w:line="240" w:lineRule="auto"/>
    </w:pPr>
    <w:rPr>
      <w:rFonts w:eastAsiaTheme="minorEastAsia"/>
      <w:color w:val="365F91" w:themeColor="accent1" w:themeShade="BF"/>
      <w:lang w:eastAsia="ja-JP"/>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color w:val="365F91" w:themeColor="accent1" w:themeShade="BF"/>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color w:val="365F91" w:themeColor="accent1" w:themeShade="BF"/>
      </w:rPr>
    </w:tblStylePr>
    <w:tblStylePr w:type="lastCol">
      <w:rPr>
        <w:b/>
        <w:bCs/>
        <w:color w:val="365F91" w:themeColor="accent1" w:themeShade="BF"/>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Bibliography">
    <w:name w:val="Bibliography"/>
    <w:basedOn w:val="Normal"/>
    <w:next w:val="Normal"/>
    <w:uiPriority w:val="37"/>
    <w:unhideWhenUsed/>
    <w:rsid w:val="004A1BC0"/>
  </w:style>
  <w:style w:type="paragraph" w:styleId="Header">
    <w:name w:val="header"/>
    <w:basedOn w:val="Normal"/>
    <w:link w:val="HeaderChar"/>
    <w:uiPriority w:val="99"/>
    <w:unhideWhenUsed/>
    <w:rsid w:val="00B501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010E"/>
  </w:style>
  <w:style w:type="paragraph" w:styleId="Footer">
    <w:name w:val="footer"/>
    <w:basedOn w:val="Normal"/>
    <w:link w:val="FooterChar"/>
    <w:uiPriority w:val="99"/>
    <w:unhideWhenUsed/>
    <w:rsid w:val="00B501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010E"/>
  </w:style>
  <w:style w:type="character" w:customStyle="1" w:styleId="Heading1Char">
    <w:name w:val="Heading 1 Char"/>
    <w:basedOn w:val="DefaultParagraphFont"/>
    <w:link w:val="Heading1"/>
    <w:uiPriority w:val="9"/>
    <w:rsid w:val="009F7E44"/>
    <w:rPr>
      <w:rFonts w:asciiTheme="majorHAnsi" w:eastAsiaTheme="majorEastAsia" w:hAnsiTheme="majorHAnsi" w:cstheme="majorBidi"/>
      <w:b/>
      <w:bCs/>
      <w:color w:val="365F91" w:themeColor="accent1" w:themeShade="BF"/>
      <w:sz w:val="28"/>
      <w:szCs w:val="2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b:Source xmlns:b="http://schemas.openxmlformats.org/officeDocument/2006/bibliography" xmlns="http://schemas.openxmlformats.org/officeDocument/2006/bibliography">
    <b:Tag>Placeholder1</b:Tag>
    <b:RefOrder>16</b:RefOrder>
  </b:Source>
  <b:Source xmlns:b="http://schemas.openxmlformats.org/officeDocument/2006/bibliography" xmlns="http://schemas.openxmlformats.org/officeDocument/2006/bibliography">
    <b:Tag>Placeholder2</b:Tag>
    <b:RefOrder>17</b:RefOrder>
  </b:Source>
  <b:Source>
    <b:Tag>Wor13</b:Tag>
    <b:SourceType>DocumentFromInternetSite</b:SourceType>
    <b:Guid>{5A800EBE-1A76-4039-91EB-1CE2A40B6743}</b:Guid>
    <b:Title>WHO</b:Title>
    <b:Medium>Web</b:Medium>
    <b:Author>
      <b:Author>
        <b:NameList>
          <b:Person>
            <b:Last>Organization</b:Last>
            <b:First>World</b:First>
            <b:Middle>Health</b:Middle>
          </b:Person>
        </b:NameList>
      </b:Author>
    </b:Author>
    <b:InternetSiteTitle>www.who.int/governance/eb/constitution</b:InternetSiteTitle>
    <b:YearAccessed>2013</b:YearAccessed>
    <b:MonthAccessed>April</b:MonthAccessed>
    <b:DayAccessed>03</b:DayAccessed>
    <b:RefOrder>11</b:RefOrder>
  </b:Source>
  <b:Source>
    <b:Tag>Pos04</b:Tag>
    <b:SourceType>DocumentFromInternetSite</b:SourceType>
    <b:Guid>{3FD32CD2-C0CE-40F9-8D6D-35217601D77B}</b:Guid>
    <b:Title>galegroup.com.cos Encyclopedia of Bioethics</b:Title>
    <b:InternetSiteTitle>Gale Virtual Reference Library</b:InternetSiteTitle>
    <b:Year>2004</b:Year>
    <b:YearAccessed>2013</b:YearAccessed>
    <b:MonthAccessed>Mar</b:MonthAccessed>
    <b:DayAccessed>02</b:DayAccessed>
    <b:Medium>Web</b:Medium>
    <b:Author>
      <b:Author>
        <b:NameList>
          <b:Person>
            <b:Last>Post</b:Last>
            <b:Middle>G</b:Middle>
            <b:First>Stephen</b:First>
          </b:Person>
        </b:NameList>
      </b:Author>
    </b:Author>
    <b:RefOrder>12</b:RefOrder>
  </b:Source>
  <b:Source>
    <b:Tag>CNN12</b:Tag>
    <b:SourceType>DocumentFromInternetSite</b:SourceType>
    <b:Guid>{7C4DE503-2B67-4C11-BB73-451B787F7F97}</b:Guid>
    <b:Author>
      <b:Author>
        <b:NameList>
          <b:Person>
            <b:Last>CNNMoney</b:Last>
          </b:Person>
        </b:NameList>
      </b:Author>
    </b:Author>
    <b:Title>Fortune 500 2012:Industry:Pharmaceuticals</b:Title>
    <b:InternetSiteTitle>money.cnn.com</b:InternetSiteTitle>
    <b:Year>2012</b:Year>
    <b:Month>May</b:Month>
    <b:Day>21</b:Day>
    <b:YearAccessed>2013</b:YearAccessed>
    <b:MonthAccessed>April</b:MonthAccessed>
    <b:DayAccessed>05</b:DayAccessed>
    <b:Medium>Web</b:Medium>
    <b:RefOrder>13</b:RefOrder>
  </b:Source>
  <b:Source>
    <b:Tag>Wor131</b:Tag>
    <b:SourceType>DocumentFromInternetSite</b:SourceType>
    <b:Guid>{C95C23A4-13CE-4829-B8C8-CD6C7C0C17F2}</b:Guid>
    <b:Author>
      <b:Author>
        <b:NameList>
          <b:Person>
            <b:Last>Organization</b:Last>
            <b:First>World</b:First>
            <b:Middle>Health</b:Middle>
          </b:Person>
        </b:NameList>
      </b:Author>
    </b:Author>
    <b:Title>WHO Pharmaceutical Industry</b:Title>
    <b:InternetSiteTitle>www.who.int</b:InternetSiteTitle>
    <b:Year>2013</b:Year>
    <b:YearAccessed>2013</b:YearAccessed>
    <b:MonthAccessed>April</b:MonthAccessed>
    <b:DayAccessed>05</b:DayAccessed>
    <b:Medium>Web</b:Medium>
    <b:RefOrder>14</b:RefOrder>
  </b:Source>
  <b:Source>
    <b:Tag>Wor132</b:Tag>
    <b:SourceType>DocumentFromInternetSite</b:SourceType>
    <b:Guid>{FBB7B211-BB6F-4BE1-85B6-FFB0B72D5F97}</b:Guid>
    <b:Author>
      <b:Author>
        <b:NameList>
          <b:Person>
            <b:Last>Organization</b:Last>
            <b:First>World</b:First>
            <b:Middle>Health</b:Middle>
          </b:Person>
        </b:NameList>
      </b:Author>
    </b:Author>
    <b:Title>WHO Trade, foreign, policy and health</b:Title>
    <b:InternetSiteTitle>www.who</b:InternetSiteTitle>
    <b:Year>2013</b:Year>
    <b:YearAccessed>2013</b:YearAccessed>
    <b:MonthAccessed>March</b:MonthAccessed>
    <b:DayAccessed>20</b:DayAccessed>
    <b:Medium>Web</b:Medium>
    <b:RefOrder>15</b:RefOrder>
  </b:Source>
  <b:Source>
    <b:Tag>Uni10</b:Tag>
    <b:SourceType>DocumentFromInternetSite</b:SourceType>
    <b:Guid>{023F94FA-82BE-48D8-BF6B-25BBDD2660BB}</b:Guid>
    <b:Author>
      <b:Author>
        <b:NameList>
          <b:Person>
            <b:Last>Bureau</b:Last>
            <b:First>United</b:First>
            <b:Middle>States Census</b:Middle>
          </b:Person>
        </b:NameList>
      </b:Author>
    </b:Author>
    <b:Title>U.S. Census Bureau</b:Title>
    <b:InternetSiteTitle>asd.internet.staff@census.gov</b:InternetSiteTitle>
    <b:Year>2010</b:Year>
    <b:YearAccessed>2013</b:YearAccessed>
    <b:MonthAccessed>April </b:MonthAccessed>
    <b:DayAccessed>05</b:DayAccessed>
    <b:Medium>Web</b:Medium>
    <b:RefOrder>4</b:RefOrder>
  </b:Source>
  <b:Source>
    <b:Tag>Emi12</b:Tag>
    <b:SourceType>DocumentFromInternetSite</b:SourceType>
    <b:Guid>{74DE61F8-3E35-4152-8E87-E0BB8868661F}</b:Guid>
    <b:Author>
      <b:Author>
        <b:NameList>
          <b:Person>
            <b:Last>Emily Smith and Caitlin Stark</b:Last>
            <b:First>CNN</b:First>
            <b:Middle>Library</b:Middle>
          </b:Person>
        </b:NameList>
      </b:Author>
    </b:Author>
    <b:Title>CNN Politics</b:Title>
    <b:InternetSiteTitle>www.cnn.com</b:InternetSiteTitle>
    <b:Year>2012</b:Year>
    <b:Month>June</b:Month>
    <b:Day>28</b:Day>
    <b:YearAccessed>2013</b:YearAccessed>
    <b:MonthAccessed>March</b:MonthAccessed>
    <b:DayAccessed>01</b:DayAccessed>
    <b:Medium>Web</b:Medium>
    <b:RefOrder>5</b:RefOrder>
  </b:Source>
  <b:Source>
    <b:Tag>CNN121</b:Tag>
    <b:SourceType>DocumentFromInternetSite</b:SourceType>
    <b:Guid>{BF30E9D3-92CC-4AF6-8CF1-795905437314}</b:Guid>
    <b:Author>
      <b:Author>
        <b:NameList>
          <b:Person>
            <b:Last>Money</b:Last>
            <b:First>CNN</b:First>
          </b:Person>
        </b:NameList>
      </b:Author>
    </b:Author>
    <b:Title>Fourtune 500 2012: Industry: Health Care:Insurance</b:Title>
    <b:InternetSiteTitle>money.cnn.com</b:InternetSiteTitle>
    <b:Year>2012</b:Year>
    <b:YearAccessed>2013</b:YearAccessed>
    <b:MonthAccessed>April</b:MonthAccessed>
    <b:DayAccessed>05</b:DayAccessed>
    <b:Medium>Web</b:Medium>
    <b:RefOrder>6</b:RefOrder>
  </b:Source>
  <b:Source>
    <b:Tag>Sar12</b:Tag>
    <b:SourceType>DocumentFromInternetSite</b:SourceType>
    <b:Guid>{A706279C-70D8-4F4A-8F35-EDB9EE70C9F1}</b:Guid>
    <b:Author>
      <b:Author>
        <b:NameList>
          <b:Person>
            <b:Last>Kliff</b:Last>
            <b:First>Sarah</b:First>
          </b:Person>
        </b:NameList>
      </b:Author>
    </b:Author>
    <b:Title>The Washington Post FAQ: Everything you need to know about Obamacare's coverage options, in one post</b:Title>
    <b:InternetSiteTitle>www.washingtonpost.com</b:InternetSiteTitle>
    <b:Year>2012</b:Year>
    <b:Month>November</b:Month>
    <b:Day>26</b:Day>
    <b:YearAccessed>2013</b:YearAccessed>
    <b:MonthAccessed>April</b:MonthAccessed>
    <b:DayAccessed>06</b:DayAccessed>
    <b:Medium>Web</b:Medium>
    <b:RefOrder>7</b:RefOrder>
  </b:Source>
  <b:Source>
    <b:Tag>Jes12</b:Tag>
    <b:SourceType>DocumentFromInternetSite</b:SourceType>
    <b:Guid>{642FE7CD-DC14-45F0-9787-0BDD20B1BECC}</b:Guid>
    <b:Author>
      <b:Author>
        <b:NameList>
          <b:Person>
            <b:Last>Dickler</b:Last>
            <b:First>Jessica</b:First>
          </b:Person>
        </b:NameList>
      </b:Author>
    </b:Author>
    <b:Title>CNN Money Family health care costs to exceed $20,00 this year</b:Title>
    <b:InternetSiteTitle>money.cnn.com</b:InternetSiteTitle>
    <b:Year>2012</b:Year>
    <b:Month>March</b:Month>
    <b:Day>29</b:Day>
    <b:YearAccessed>2013</b:YearAccessed>
    <b:MonthAccessed>April </b:MonthAccessed>
    <b:DayAccessed>07</b:DayAccessed>
    <b:Medium>Web</b:Medium>
    <b:RefOrder>9</b:RefOrder>
  </b:Source>
  <b:Source>
    <b:Tag>Wor133</b:Tag>
    <b:SourceType>DocumentFromInternetSite</b:SourceType>
    <b:Guid>{04B908F0-B8A3-4B7A-BD81-2306BF51E8C0}</b:Guid>
    <b:Author>
      <b:Author>
        <b:NameList>
          <b:Person>
            <b:Last>Organization</b:Last>
            <b:First>World</b:First>
            <b:Middle>Health</b:Middle>
          </b:Person>
        </b:NameList>
      </b:Author>
    </b:Author>
    <b:Title>WHO LEVELS OF HEALTH SERVICES</b:Title>
    <b:InternetSiteTitle>who</b:InternetSiteTitle>
    <b:YearAccessed>2013</b:YearAccessed>
    <b:MonthAccessed>March</b:MonthAccessed>
    <b:DayAccessed>14</b:DayAccessed>
    <b:Medium>Web</b:Medium>
    <b:RefOrder>18</b:RefOrder>
  </b:Source>
  <b:Source>
    <b:Tag>Wor10</b:Tag>
    <b:SourceType>DocumentFromInternetSite</b:SourceType>
    <b:Guid>{814E8A74-723F-4B2E-8F4D-97E26F1EC4E5}</b:Guid>
    <b:Author>
      <b:Author>
        <b:NameList>
          <b:Person>
            <b:Last>Organization</b:Last>
            <b:First>World</b:First>
            <b:Middle>Health</b:Middle>
          </b:Person>
        </b:NameList>
      </b:Author>
    </b:Author>
    <b:Title>WHO/Health systems</b:Title>
    <b:InternetSiteTitle>www.who.int/topics/health-systems</b:InternetSiteTitle>
    <b:Year>2010</b:Year>
    <b:YearAccessed>2013</b:YearAccessed>
    <b:MonthAccessed>May</b:MonthAccessed>
    <b:Medium>web</b:Medium>
    <b:RefOrder>1</b:RefOrder>
  </b:Source>
  <b:Source>
    <b:Tag>Wor134</b:Tag>
    <b:SourceType>DocumentFromInternetSite</b:SourceType>
    <b:Guid>{A512788C-FF1A-4A41-A289-F212D5CE8BCB}</b:Guid>
    <b:Author>
      <b:Author>
        <b:NameList>
          <b:Person>
            <b:Last>Organization</b:Last>
            <b:First>World</b:First>
            <b:Middle>Health</b:Middle>
          </b:Person>
        </b:NameList>
      </b:Author>
    </b:Author>
    <b:Title>WHO/Global Heath Expediture Database</b:Title>
    <b:InternetSiteTitle>www.who.int/nha/database</b:InternetSiteTitle>
    <b:Year>2013</b:Year>
    <b:YearAccessed>2013</b:YearAccessed>
    <b:MonthAccessed>May</b:MonthAccessed>
    <b:DayAccessed>05</b:DayAccessed>
    <b:Medium>web</b:Medium>
    <b:RefOrder>2</b:RefOrder>
  </b:Source>
  <b:Source>
    <b:Tag>Jea12</b:Tag>
    <b:SourceType>DocumentFromInternetSite</b:SourceType>
    <b:Guid>{5200AB2D-FC65-4E22-A0FB-2541550981A0}</b:Guid>
    <b:Author>
      <b:Author>
        <b:NameList>
          <b:Person>
            <b:Last>Sahadi</b:Last>
            <b:First>Jeanne</b:First>
          </b:Person>
        </b:NameList>
      </b:Author>
    </b:Author>
    <b:Title>CNNMoney</b:Title>
    <b:InternetSiteTitle>www.money.cnn.com</b:InternetSiteTitle>
    <b:Year>2012</b:Year>
    <b:Month>April</b:Month>
    <b:Day>13</b:Day>
    <b:YearAccessed>2013</b:YearAccessed>
    <b:MonthAccessed>May</b:MonthAccessed>
    <b:DayAccessed>02</b:DayAccessed>
    <b:Medium>web</b:Medium>
    <b:RefOrder>3</b:RefOrder>
  </b:Source>
  <b:Source>
    <b:Tag>Rey12</b:Tag>
    <b:SourceType>DocumentFromInternetSite</b:SourceType>
    <b:Guid>{EAA3DF54-9E81-42A4-B69F-395B8C4021D9}</b:Guid>
    <b:Author>
      <b:Author>
        <b:NameList>
          <b:Person>
            <b:Last>Reynolds</b:Last>
            <b:First>Bara</b:First>
          </b:Person>
        </b:NameList>
      </b:Author>
    </b:Author>
    <b:Title>The Washington Post</b:Title>
    <b:InternetSiteTitle>www.washingtonpost.com</b:InternetSiteTitle>
    <b:Year>2012</b:Year>
    <b:Month>July</b:Month>
    <b:Day>06</b:Day>
    <b:YearAccessed>2013</b:YearAccessed>
    <b:Medium>web</b:Medium>
    <b:RefOrder>8</b:RefOrder>
  </b:Source>
  <b:Source>
    <b:Tag>Cen13</b:Tag>
    <b:SourceType>DocumentFromInternetSite</b:SourceType>
    <b:Guid>{BA0085C4-5CD3-4759-9092-89AAD1628845}</b:Guid>
    <b:Author>
      <b:Author>
        <b:NameList>
          <b:Person>
            <b:Last>Promotion</b:Last>
            <b:First>Centers</b:First>
            <b:Middle>for disease Control and Prevention Chronic Disease and Health</b:Middle>
          </b:Person>
        </b:NameList>
      </b:Author>
    </b:Author>
    <b:Title>National Center for Chronic Disease Prevention and Health Promotion</b:Title>
    <b:InternetSiteTitle>www.cdc.gov/nccdphp/</b:InternetSiteTitle>
    <b:YearAccessed>2013</b:YearAccessed>
    <b:MonthAccessed>April</b:MonthAccessed>
    <b:DayAccessed>02</b:DayAccessed>
    <b:Medium>web</b:Medium>
    <b:RefOrder>10</b:RefOrder>
  </b:Source>
</b:Sources>
</file>

<file path=customXml/itemProps1.xml><?xml version="1.0" encoding="utf-8"?>
<ds:datastoreItem xmlns:ds="http://schemas.openxmlformats.org/officeDocument/2006/customXml" ds:itemID="{202F0D00-A988-4682-BB58-5DBCB1BCB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29274</TotalTime>
  <Pages>12</Pages>
  <Words>3311</Words>
  <Characters>18876</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dc:creator>
  <cp:lastModifiedBy>claudia</cp:lastModifiedBy>
  <cp:revision>441</cp:revision>
  <cp:lastPrinted>2013-05-08T06:24:00Z</cp:lastPrinted>
  <dcterms:created xsi:type="dcterms:W3CDTF">2013-03-05T02:34:00Z</dcterms:created>
  <dcterms:modified xsi:type="dcterms:W3CDTF">2013-10-08T19:09:00Z</dcterms:modified>
</cp:coreProperties>
</file>